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w:t>
      </w:r>
      <w:r>
        <w:rPr>
          <w:rFonts w:hint="eastAsia" w:cs="Arial"/>
          <w:b/>
          <w:color w:val="auto"/>
          <w:sz w:val="24"/>
          <w:lang w:val="en-US" w:eastAsia="zh-CN"/>
        </w:rPr>
        <w:t>15</w:t>
      </w:r>
      <w:r>
        <w:rPr>
          <w:rFonts w:ascii="Arial" w:hAnsi="Arial" w:eastAsia="MS Mincho"/>
          <w:b/>
          <w:color w:val="auto"/>
          <w:sz w:val="24"/>
        </w:rPr>
        <w:tab/>
      </w:r>
      <w:r>
        <w:rPr>
          <w:rFonts w:ascii="Arial" w:hAnsi="Arial"/>
          <w:b/>
          <w:color w:val="auto"/>
          <w:sz w:val="24"/>
          <w:lang w:eastAsia="zh-CN"/>
        </w:rPr>
        <w:t>R4-</w:t>
      </w:r>
      <w:r>
        <w:rPr>
          <w:rFonts w:hint="eastAsia"/>
          <w:b/>
          <w:color w:val="auto"/>
          <w:sz w:val="24"/>
          <w:lang w:val="en-US" w:eastAsia="zh-CN"/>
        </w:rPr>
        <w:t>2507282</w:t>
      </w:r>
    </w:p>
    <w:p>
      <w:pPr>
        <w:pStyle w:val="15"/>
        <w:tabs>
          <w:tab w:val="right" w:pos="9781"/>
          <w:tab w:val="right" w:pos="13323"/>
          <w:tab w:val="clear" w:pos="4536"/>
          <w:tab w:val="clear" w:pos="9072"/>
        </w:tabs>
        <w:spacing w:before="60" w:after="60"/>
        <w:outlineLvl w:val="0"/>
        <w:rPr>
          <w:rFonts w:ascii="Arial" w:hAnsi="Arial" w:eastAsia="宋体" w:cs="Arial"/>
          <w:b/>
          <w:sz w:val="24"/>
          <w:szCs w:val="24"/>
          <w:lang w:eastAsia="zh-CN"/>
        </w:rPr>
      </w:pPr>
      <w:r>
        <w:rPr>
          <w:rFonts w:ascii="Arial" w:hAnsi="Arial" w:eastAsia="宋体" w:cs="Arial"/>
          <w:b/>
          <w:sz w:val="24"/>
          <w:szCs w:val="24"/>
          <w:lang w:eastAsia="zh-CN"/>
        </w:rPr>
        <w:t>Malta, MT, 19</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23</w:t>
      </w:r>
      <w:r>
        <w:rPr>
          <w:rFonts w:ascii="Arial" w:hAnsi="Arial" w:eastAsia="宋体" w:cs="Arial"/>
          <w:b/>
          <w:sz w:val="24"/>
          <w:szCs w:val="24"/>
          <w:vertAlign w:val="superscript"/>
          <w:lang w:eastAsia="zh-CN"/>
        </w:rPr>
        <w:t>rd</w:t>
      </w:r>
      <w:r>
        <w:rPr>
          <w:rFonts w:ascii="Arial" w:hAnsi="Arial" w:eastAsia="宋体" w:cs="Arial"/>
          <w:b/>
          <w:sz w:val="24"/>
          <w:szCs w:val="24"/>
          <w:lang w:eastAsia="zh-CN"/>
        </w:rPr>
        <w:t xml:space="preserve"> May</w:t>
      </w:r>
      <w:r>
        <w:rPr>
          <w:rFonts w:ascii="Arial" w:hAnsi="Arial" w:eastAsia="宋体" w:cs="Arial"/>
          <w:b/>
          <w:sz w:val="24"/>
          <w:szCs w:val="24"/>
          <w:lang w:eastAsia="zh-CN"/>
        </w:rPr>
        <w:t>, 202</w:t>
      </w:r>
      <w:r>
        <w:rPr>
          <w:rFonts w:hint="eastAsia" w:eastAsia="宋体" w:cs="Arial"/>
          <w:b/>
          <w:sz w:val="24"/>
          <w:szCs w:val="24"/>
          <w:lang w:val="en-US" w:eastAsia="zh-CN"/>
        </w:rPr>
        <w:t>5</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5"/>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r>
        <w:rPr>
          <w:rFonts w:hint="eastAsia" w:eastAsia="宋体"/>
          <w:color w:val="auto"/>
          <w:sz w:val="24"/>
          <w:lang w:val="en-US" w:eastAsia="zh-CN"/>
        </w:rPr>
        <w:t>, Sanechips</w:t>
      </w:r>
    </w:p>
    <w:p>
      <w:pPr>
        <w:pStyle w:val="15"/>
        <w:tabs>
          <w:tab w:val="left" w:pos="1800"/>
          <w:tab w:val="clear" w:pos="4536"/>
        </w:tabs>
        <w:spacing w:after="60"/>
        <w:ind w:left="1807" w:hanging="1807" w:hangingChars="750"/>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on CSSF optimization of R19 RRM enhancements</w:t>
      </w:r>
    </w:p>
    <w:p>
      <w:pPr>
        <w:pStyle w:val="15"/>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lang w:val="en-US" w:eastAsia="zh-CN"/>
        </w:rPr>
        <w:t>7.18.3.2</w:t>
      </w:r>
    </w:p>
    <w:p>
      <w:pPr>
        <w:pStyle w:val="15"/>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Discussion</w:t>
      </w:r>
      <w:bookmarkStart w:id="0" w:name="_GoBack"/>
      <w:bookmarkEnd w:id="0"/>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eastAsia" w:cs="Arial"/>
          <w:lang w:val="en-US" w:eastAsia="zh-CN"/>
        </w:rPr>
      </w:pPr>
      <w:r>
        <w:rPr>
          <w:rFonts w:hint="eastAsia" w:cs="Arial"/>
          <w:lang w:val="en-US" w:eastAsia="zh-CN"/>
        </w:rPr>
        <w:t>During last RAN4 meeting, good progress were achieved around the CSSF enhancement and the following progress were summarized in [1] as below:</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rPr>
                <w:b/>
                <w:color w:val="0070C0"/>
                <w:u w:val="single"/>
                <w:lang w:eastAsia="ko-KR"/>
              </w:rPr>
            </w:pPr>
            <w:r>
              <w:rPr>
                <w:b/>
                <w:color w:val="0070C0"/>
                <w:u w:val="single"/>
                <w:lang w:eastAsia="ko-KR"/>
              </w:rPr>
              <w:t>Issue 1-1: Applicability requirement of L3 measurement delay reduction by optimizing CSSF</w:t>
            </w:r>
          </w:p>
          <w:p>
            <w:pPr>
              <w:snapToGrid w:val="0"/>
              <w:spacing w:after="120"/>
              <w:rPr>
                <w:rFonts w:eastAsia="DengXian"/>
              </w:rPr>
            </w:pPr>
            <w:r>
              <w:rPr>
                <w:rFonts w:hint="eastAsia" w:eastAsia="DengXian"/>
                <w:highlight w:val="green"/>
              </w:rPr>
              <w:t>A</w:t>
            </w:r>
            <w:r>
              <w:rPr>
                <w:rFonts w:eastAsia="DengXian"/>
                <w:highlight w:val="green"/>
              </w:rPr>
              <w:t>greement:</w:t>
            </w:r>
          </w:p>
          <w:p>
            <w:pPr>
              <w:pStyle w:val="29"/>
              <w:numPr>
                <w:ilvl w:val="0"/>
                <w:numId w:val="4"/>
              </w:numPr>
              <w:overflowPunct/>
              <w:autoSpaceDE/>
              <w:autoSpaceDN/>
              <w:adjustRightInd/>
              <w:snapToGrid w:val="0"/>
              <w:spacing w:after="120"/>
              <w:ind w:firstLineChars="0"/>
              <w:textAlignment w:val="auto"/>
              <w:rPr>
                <w:rFonts w:eastAsia="宋体"/>
              </w:rPr>
            </w:pPr>
            <w:r>
              <w:rPr>
                <w:rFonts w:eastAsia="宋体"/>
              </w:rPr>
              <w:t>the CSSF optimization can be applied to the CSSF tables for the related CA/DC scenarios.</w:t>
            </w:r>
          </w:p>
          <w:p>
            <w:pPr>
              <w:pStyle w:val="29"/>
              <w:numPr>
                <w:ilvl w:val="1"/>
                <w:numId w:val="4"/>
              </w:numPr>
              <w:overflowPunct/>
              <w:autoSpaceDE/>
              <w:autoSpaceDN/>
              <w:adjustRightInd/>
              <w:snapToGrid w:val="0"/>
              <w:spacing w:after="120"/>
              <w:ind w:firstLineChars="0"/>
              <w:textAlignment w:val="auto"/>
              <w:rPr>
                <w:rFonts w:eastAsia="宋体"/>
              </w:rPr>
            </w:pPr>
            <w:r>
              <w:rPr>
                <w:rFonts w:eastAsia="宋体"/>
              </w:rPr>
              <w:t>For solution 1: CSSF tables for CA, NR-DC, EN-DC and NE-DC</w:t>
            </w:r>
          </w:p>
          <w:p>
            <w:pPr>
              <w:pStyle w:val="29"/>
              <w:numPr>
                <w:ilvl w:val="1"/>
                <w:numId w:val="4"/>
              </w:numPr>
              <w:overflowPunct/>
              <w:autoSpaceDE/>
              <w:autoSpaceDN/>
              <w:adjustRightInd/>
              <w:snapToGrid w:val="0"/>
              <w:spacing w:after="120"/>
              <w:ind w:firstLineChars="0"/>
              <w:textAlignment w:val="auto"/>
              <w:rPr>
                <w:rFonts w:eastAsia="宋体"/>
              </w:rPr>
            </w:pPr>
            <w:r>
              <w:rPr>
                <w:rFonts w:eastAsia="宋体"/>
              </w:rPr>
              <w:t>For solution 3: CSSF tables for CA, NR-DC, EN-DC with FR1 NR only</w:t>
            </w:r>
          </w:p>
          <w:p>
            <w:pPr>
              <w:pStyle w:val="29"/>
              <w:numPr>
                <w:ilvl w:val="0"/>
                <w:numId w:val="4"/>
              </w:numPr>
              <w:overflowPunct/>
              <w:autoSpaceDE/>
              <w:autoSpaceDN/>
              <w:adjustRightInd/>
              <w:snapToGrid w:val="0"/>
              <w:spacing w:after="120"/>
              <w:ind w:firstLineChars="0"/>
              <w:textAlignment w:val="auto"/>
              <w:rPr>
                <w:rFonts w:eastAsia="宋体"/>
              </w:rPr>
            </w:pPr>
            <w:r>
              <w:rPr>
                <w:rFonts w:eastAsia="宋体"/>
              </w:rPr>
              <w:t>Details of whether/how the CSSF factor is modified can be left to CR discussion.</w:t>
            </w:r>
          </w:p>
          <w:p>
            <w:pPr>
              <w:rPr>
                <w:rFonts w:eastAsia="DengXian"/>
                <w:highlight w:val="green"/>
              </w:rPr>
            </w:pPr>
            <w:r>
              <w:rPr>
                <w:b/>
                <w:color w:val="0070C0"/>
                <w:u w:val="single"/>
                <w:lang w:eastAsia="ko-KR"/>
              </w:rPr>
              <w:t>Issue 1-3-1: whether solution 3 includes NR-DC scenario or not?</w:t>
            </w:r>
          </w:p>
          <w:p>
            <w:pPr>
              <w:snapToGrid w:val="0"/>
              <w:spacing w:after="120"/>
              <w:rPr>
                <w:rFonts w:eastAsia="DengXian"/>
              </w:rPr>
            </w:pPr>
            <w:r>
              <w:rPr>
                <w:rFonts w:eastAsia="DengXian"/>
                <w:highlight w:val="green"/>
              </w:rPr>
              <w:t>Agreement in online session:</w:t>
            </w:r>
          </w:p>
          <w:p>
            <w:pPr>
              <w:pStyle w:val="29"/>
              <w:numPr>
                <w:ilvl w:val="0"/>
                <w:numId w:val="4"/>
              </w:numPr>
              <w:overflowPunct/>
              <w:autoSpaceDE/>
              <w:autoSpaceDN/>
              <w:adjustRightInd/>
              <w:snapToGrid w:val="0"/>
              <w:spacing w:after="120"/>
              <w:ind w:firstLineChars="0"/>
              <w:textAlignment w:val="auto"/>
              <w:rPr>
                <w:rFonts w:eastAsia="宋体"/>
              </w:rPr>
            </w:pPr>
            <w:r>
              <w:rPr>
                <w:rFonts w:eastAsia="宋体"/>
                <w:iCs/>
              </w:rPr>
              <w:t>Solution 3 includes NR-DC of FR1 and FR1 + FR2</w:t>
            </w:r>
          </w:p>
          <w:p>
            <w:pPr>
              <w:rPr>
                <w:b/>
                <w:color w:val="0070C0"/>
                <w:u w:val="single"/>
                <w:lang w:eastAsia="ko-KR"/>
              </w:rPr>
            </w:pPr>
            <w:r>
              <w:rPr>
                <w:b/>
                <w:color w:val="0070C0"/>
                <w:u w:val="single"/>
                <w:lang w:eastAsia="ko-KR"/>
              </w:rPr>
              <w:t>Issue 1-3-3: detailed CSSF table design for solution 3</w:t>
            </w:r>
          </w:p>
          <w:p>
            <w:pPr>
              <w:snapToGrid w:val="0"/>
              <w:spacing w:after="120"/>
              <w:rPr>
                <w:rFonts w:eastAsia="DengXian"/>
              </w:rPr>
            </w:pPr>
            <w:r>
              <w:rPr>
                <w:rFonts w:hint="eastAsia" w:eastAsia="DengXian"/>
                <w:highlight w:val="green"/>
              </w:rPr>
              <w:t>A</w:t>
            </w:r>
            <w:r>
              <w:rPr>
                <w:rFonts w:eastAsia="DengXian"/>
                <w:highlight w:val="green"/>
              </w:rPr>
              <w:t>greement in online session:</w:t>
            </w:r>
          </w:p>
          <w:p>
            <w:pPr>
              <w:pStyle w:val="29"/>
              <w:numPr>
                <w:ilvl w:val="0"/>
                <w:numId w:val="5"/>
              </w:numPr>
              <w:snapToGrid w:val="0"/>
              <w:spacing w:after="120"/>
              <w:ind w:firstLineChars="0"/>
              <w:rPr>
                <w:i/>
                <w:color w:val="0070C0"/>
              </w:rPr>
            </w:pPr>
            <w:r>
              <w:rPr>
                <w:rFonts w:eastAsia="宋体"/>
              </w:rPr>
              <w:t>This requirement applies regardless of whether measurement gap is configured or not.</w:t>
            </w:r>
          </w:p>
          <w:p>
            <w:pPr>
              <w:rPr>
                <w:rFonts w:eastAsia="宋体"/>
              </w:rPr>
            </w:pPr>
            <w:r>
              <w:rPr>
                <w:b/>
                <w:color w:val="0070C0"/>
                <w:u w:val="single"/>
                <w:lang w:eastAsia="ko-KR"/>
              </w:rPr>
              <w:t>Issue 1-4-1: UE capability for CSSF enhancement</w:t>
            </w:r>
          </w:p>
          <w:p>
            <w:pPr>
              <w:snapToGrid w:val="0"/>
              <w:spacing w:after="120"/>
              <w:rPr>
                <w:rFonts w:eastAsia="宋体"/>
              </w:rPr>
            </w:pPr>
            <w:r>
              <w:rPr>
                <w:rFonts w:eastAsia="宋体"/>
                <w:highlight w:val="green"/>
              </w:rPr>
              <w:t>Agreement:</w:t>
            </w:r>
          </w:p>
          <w:p>
            <w:pPr>
              <w:pStyle w:val="29"/>
              <w:numPr>
                <w:ilvl w:val="0"/>
                <w:numId w:val="6"/>
              </w:numPr>
              <w:overflowPunct/>
              <w:autoSpaceDE/>
              <w:autoSpaceDN/>
              <w:adjustRightInd/>
              <w:snapToGrid w:val="0"/>
              <w:spacing w:after="120"/>
              <w:ind w:firstLineChars="0"/>
              <w:textAlignment w:val="auto"/>
              <w:rPr>
                <w:rFonts w:hint="eastAsia" w:cs="Arial"/>
                <w:vertAlign w:val="baseline"/>
                <w:lang w:val="en-US" w:eastAsia="zh-CN"/>
              </w:rPr>
            </w:pPr>
            <w:r>
              <w:rPr>
                <w:rFonts w:eastAsia="宋体"/>
              </w:rPr>
              <w:t>UE feature #1: Define UE capability for solution 1, further discuss whether it is per-UE or per-FR.</w:t>
            </w:r>
          </w:p>
          <w:p>
            <w:pPr>
              <w:pStyle w:val="29"/>
              <w:numPr>
                <w:ilvl w:val="0"/>
                <w:numId w:val="6"/>
              </w:numPr>
              <w:overflowPunct/>
              <w:autoSpaceDE/>
              <w:autoSpaceDN/>
              <w:adjustRightInd/>
              <w:snapToGrid w:val="0"/>
              <w:spacing w:after="120"/>
              <w:ind w:firstLineChars="0"/>
              <w:textAlignment w:val="auto"/>
              <w:rPr>
                <w:rFonts w:hint="eastAsia" w:cs="Arial"/>
                <w:vertAlign w:val="baseline"/>
                <w:lang w:val="en-US" w:eastAsia="zh-CN"/>
              </w:rPr>
            </w:pPr>
            <w:r>
              <w:rPr>
                <w:rFonts w:eastAsia="宋体"/>
              </w:rPr>
              <w:t xml:space="preserve">UE feature #2: Define UE capability for solution 3, </w:t>
            </w:r>
            <w:r>
              <w:rPr>
                <w:rFonts w:eastAsia="宋体"/>
                <w:iCs/>
              </w:rPr>
              <w:t xml:space="preserve">the UE capability is defined separately for {FR1 only CA and FR1 only NR-DC}, {FR1 only EN-DC}, {FR1+FR2 CA}, {FR1+FR2 NR-DC} in the </w:t>
            </w:r>
            <w:r>
              <w:rPr>
                <w:rFonts w:hint="eastAsia" w:eastAsia="宋体"/>
                <w:iCs/>
              </w:rPr>
              <w:t>s</w:t>
            </w:r>
            <w:r>
              <w:rPr>
                <w:rFonts w:eastAsia="宋体"/>
                <w:iCs/>
              </w:rPr>
              <w:t>ame FG.</w:t>
            </w:r>
          </w:p>
        </w:tc>
      </w:tr>
    </w:tbl>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default" w:cs="Arial"/>
          <w:lang w:val="en-US" w:eastAsia="zh-CN"/>
        </w:rPr>
      </w:pPr>
      <w:r>
        <w:rPr>
          <w:rFonts w:hint="eastAsia" w:cs="Arial"/>
          <w:lang w:val="en-US" w:eastAsia="zh-CN"/>
        </w:rPr>
        <w:t xml:space="preserve">In this paper, we provide our further views on the remaining issues of CSSF enhancement. </w:t>
      </w:r>
    </w:p>
    <w:p>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468" w:beforeLines="150" w:after="156" w:afterLines="50" w:line="300" w:lineRule="auto"/>
        <w:ind w:left="425" w:hanging="425"/>
        <w:jc w:val="both"/>
        <w:textAlignment w:val="baseline"/>
        <w:rPr>
          <w:rFonts w:eastAsia="宋体"/>
          <w:color w:val="auto"/>
          <w:lang w:eastAsia="zh-CN"/>
        </w:rPr>
      </w:pPr>
      <w:r>
        <w:rPr>
          <w:rFonts w:hint="eastAsia" w:eastAsia="宋体"/>
          <w:color w:val="auto"/>
          <w:lang w:eastAsia="zh-CN"/>
        </w:rPr>
        <w:t>Discussion</w:t>
      </w:r>
    </w:p>
    <w:p>
      <w:pPr>
        <w:pStyle w:val="9"/>
        <w:bidi w:val="0"/>
        <w:rPr>
          <w:rFonts w:hint="eastAsia"/>
          <w:lang w:val="en-US" w:eastAsia="zh-CN"/>
        </w:rPr>
      </w:pPr>
      <w:r>
        <w:rPr>
          <w:rFonts w:hint="eastAsia"/>
          <w:lang w:val="en-US" w:eastAsia="zh-CN"/>
        </w:rPr>
        <w:t>Regarding this sub topic, we share our views from the following aspects:</w:t>
      </w:r>
    </w:p>
    <w:p>
      <w:pPr>
        <w:numPr>
          <w:ilvl w:val="0"/>
          <w:numId w:val="7"/>
        </w:numPr>
        <w:ind w:left="420" w:leftChars="0" w:hanging="420" w:firstLineChars="0"/>
        <w:rPr>
          <w:rFonts w:hint="default"/>
          <w:lang w:val="en-US" w:eastAsia="zh-CN"/>
        </w:rPr>
      </w:pPr>
      <w:r>
        <w:rPr>
          <w:rFonts w:hint="eastAsia"/>
          <w:lang w:val="en-US" w:eastAsia="zh-CN"/>
        </w:rPr>
        <w:t>Whether and how to revise solution 1</w:t>
      </w:r>
    </w:p>
    <w:p>
      <w:pPr>
        <w:numPr>
          <w:ilvl w:val="0"/>
          <w:numId w:val="7"/>
        </w:numPr>
        <w:ind w:left="420" w:leftChars="0" w:hanging="420" w:firstLineChars="0"/>
        <w:rPr>
          <w:rFonts w:hint="default"/>
          <w:lang w:val="en-US" w:eastAsia="zh-CN"/>
        </w:rPr>
      </w:pPr>
      <w:r>
        <w:rPr>
          <w:rFonts w:hint="eastAsia"/>
          <w:lang w:val="en-US" w:eastAsia="zh-CN"/>
        </w:rPr>
        <w:t>Expand solution 1 to FR1 case</w:t>
      </w:r>
    </w:p>
    <w:p>
      <w:pPr>
        <w:numPr>
          <w:ilvl w:val="0"/>
          <w:numId w:val="7"/>
        </w:numPr>
        <w:ind w:left="420" w:leftChars="0" w:hanging="420" w:firstLineChars="0"/>
        <w:rPr>
          <w:rFonts w:hint="default"/>
          <w:lang w:val="en-US" w:eastAsia="zh-CN"/>
        </w:rPr>
      </w:pPr>
      <w:r>
        <w:rPr>
          <w:rFonts w:hint="eastAsia"/>
          <w:lang w:val="en-US" w:eastAsia="zh-CN"/>
        </w:rPr>
        <w:t>Detailed design for solution 3</w:t>
      </w:r>
    </w:p>
    <w:p>
      <w:pPr>
        <w:numPr>
          <w:ilvl w:val="0"/>
          <w:numId w:val="0"/>
        </w:numPr>
        <w:ind w:leftChars="0"/>
        <w:rPr>
          <w:rFonts w:hint="default"/>
          <w:lang w:val="en-US" w:eastAsia="zh-CN"/>
        </w:rPr>
      </w:pPr>
    </w:p>
    <w:p>
      <w:pPr>
        <w:keepNext w:val="0"/>
        <w:keepLines w:val="0"/>
        <w:pageBreakBefore w:val="0"/>
        <w:widowControl/>
        <w:numPr>
          <w:ilvl w:val="0"/>
          <w:numId w:val="0"/>
        </w:numPr>
        <w:kinsoku/>
        <w:wordWrap/>
        <w:overflowPunct/>
        <w:topLinePunct w:val="0"/>
        <w:autoSpaceDE/>
        <w:autoSpaceDN/>
        <w:bidi w:val="0"/>
        <w:adjustRightInd/>
        <w:snapToGrid/>
        <w:spacing w:after="157" w:afterLines="50"/>
        <w:ind w:leftChars="0"/>
        <w:textAlignment w:val="auto"/>
        <w:rPr>
          <w:rFonts w:hint="eastAsia"/>
          <w:u w:val="single"/>
          <w:lang w:val="en-US" w:eastAsia="zh-CN"/>
        </w:rPr>
      </w:pPr>
      <w:r>
        <w:rPr>
          <w:rFonts w:hint="eastAsia"/>
          <w:u w:val="single"/>
          <w:lang w:val="en-US" w:eastAsia="zh-CN"/>
        </w:rPr>
        <w:t>Whether and how to revise solution 1</w:t>
      </w:r>
    </w:p>
    <w:p>
      <w:pPr>
        <w:keepNext w:val="0"/>
        <w:keepLines w:val="0"/>
        <w:pageBreakBefore w:val="0"/>
        <w:widowControl/>
        <w:numPr>
          <w:ilvl w:val="0"/>
          <w:numId w:val="0"/>
        </w:numPr>
        <w:kinsoku/>
        <w:wordWrap/>
        <w:overflowPunct/>
        <w:topLinePunct w:val="0"/>
        <w:autoSpaceDE/>
        <w:autoSpaceDN/>
        <w:bidi w:val="0"/>
        <w:adjustRightInd/>
        <w:snapToGrid/>
        <w:spacing w:after="157" w:afterLines="50"/>
        <w:ind w:leftChars="0"/>
        <w:textAlignment w:val="auto"/>
        <w:rPr>
          <w:rFonts w:hint="eastAsia"/>
          <w:lang w:val="en-US" w:eastAsia="zh-CN"/>
        </w:rPr>
      </w:pPr>
      <w:r>
        <w:rPr>
          <w:rFonts w:hint="eastAsia"/>
          <w:lang w:val="en-US" w:eastAsia="zh-CN"/>
        </w:rPr>
        <w:t>In last meeting, some company proposed revision on the approved solution 1 in 114 meeting as below:</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9"/>
              <w:numPr>
                <w:ilvl w:val="0"/>
                <w:numId w:val="4"/>
              </w:numPr>
              <w:overflowPunct/>
              <w:autoSpaceDE/>
              <w:autoSpaceDN/>
              <w:adjustRightInd/>
              <w:spacing w:after="120"/>
              <w:ind w:firstLineChars="0"/>
              <w:textAlignment w:val="auto"/>
              <w:rPr>
                <w:rFonts w:eastAsia="宋体"/>
              </w:rPr>
            </w:pPr>
            <w:r>
              <w:rPr>
                <w:rFonts w:hint="eastAsia" w:eastAsia="宋体"/>
              </w:rPr>
              <w:t>P</w:t>
            </w:r>
            <w:r>
              <w:rPr>
                <w:rFonts w:eastAsia="宋体"/>
              </w:rPr>
              <w:t>roposal 1: For solution 1, remove the sub-case and update the agreements as follows:</w:t>
            </w:r>
          </w:p>
          <w:p>
            <w:pPr>
              <w:numPr>
                <w:ilvl w:val="1"/>
                <w:numId w:val="4"/>
              </w:numPr>
              <w:snapToGrid w:val="0"/>
              <w:spacing w:after="120"/>
              <w:rPr>
                <w:rFonts w:eastAsia="宋体"/>
                <w:iCs/>
              </w:rPr>
            </w:pPr>
            <w:r>
              <w:rPr>
                <w:rFonts w:eastAsia="宋体"/>
                <w:iCs/>
              </w:rPr>
              <w:t>Follow the network indication to measure a SCC, if</w:t>
            </w:r>
          </w:p>
          <w:p>
            <w:pPr>
              <w:numPr>
                <w:ilvl w:val="2"/>
                <w:numId w:val="4"/>
              </w:numPr>
              <w:suppressAutoHyphens/>
              <w:snapToGrid w:val="0"/>
              <w:spacing w:after="120"/>
              <w:rPr>
                <w:rFonts w:eastAsia="宋体"/>
                <w:iCs/>
              </w:rPr>
            </w:pPr>
            <w:r>
              <w:rPr>
                <w:rFonts w:eastAsia="宋体"/>
                <w:iCs/>
              </w:rPr>
              <w:t>neither PCC nor PSCC is in band, and</w:t>
            </w:r>
          </w:p>
          <w:p>
            <w:pPr>
              <w:numPr>
                <w:ilvl w:val="2"/>
                <w:numId w:val="4"/>
              </w:numPr>
              <w:suppressAutoHyphens/>
              <w:snapToGrid w:val="0"/>
              <w:spacing w:after="120"/>
              <w:rPr>
                <w:rFonts w:eastAsia="宋体"/>
                <w:iCs/>
                <w:strike/>
                <w:color w:val="FF0000"/>
              </w:rPr>
            </w:pPr>
            <w:r>
              <w:rPr>
                <w:rFonts w:eastAsia="宋体"/>
                <w:iCs/>
                <w:strike/>
                <w:color w:val="FF0000"/>
              </w:rPr>
              <w:t>if there is no SCCs on which UE is configured to report SSB based measurements in band, or</w:t>
            </w:r>
          </w:p>
          <w:p>
            <w:pPr>
              <w:numPr>
                <w:ilvl w:val="2"/>
                <w:numId w:val="4"/>
              </w:numPr>
              <w:suppressAutoHyphens/>
              <w:snapToGrid w:val="0"/>
              <w:spacing w:after="120"/>
              <w:rPr>
                <w:rFonts w:eastAsia="宋体"/>
                <w:iCs/>
              </w:rPr>
            </w:pPr>
            <w:r>
              <w:rPr>
                <w:rFonts w:eastAsia="宋体"/>
                <w:iCs/>
              </w:rPr>
              <w:t>if there are multiple SCCs on which UE is configured to report SSB based measurements in band.</w:t>
            </w:r>
          </w:p>
          <w:p>
            <w:pPr>
              <w:numPr>
                <w:ilvl w:val="2"/>
                <w:numId w:val="4"/>
              </w:numPr>
              <w:suppressAutoHyphens/>
              <w:snapToGrid w:val="0"/>
              <w:spacing w:after="120"/>
              <w:rPr>
                <w:rFonts w:eastAsia="宋体"/>
                <w:iCs/>
              </w:rPr>
            </w:pPr>
            <w:r>
              <w:rPr>
                <w:rFonts w:eastAsia="宋体"/>
                <w:iCs/>
              </w:rPr>
              <w:t>Network indication of a specific SCC per-band for measurement.</w:t>
            </w:r>
          </w:p>
          <w:p>
            <w:pPr>
              <w:numPr>
                <w:ilvl w:val="3"/>
                <w:numId w:val="4"/>
              </w:numPr>
              <w:suppressAutoHyphens/>
              <w:snapToGrid w:val="0"/>
              <w:spacing w:after="120"/>
              <w:rPr>
                <w:rFonts w:eastAsia="宋体"/>
                <w:iCs/>
              </w:rPr>
            </w:pPr>
            <w:r>
              <w:rPr>
                <w:rFonts w:eastAsia="宋体"/>
                <w:iCs/>
              </w:rPr>
              <w:t>if network indicates which of the SCC to be measured in a band, UE will perform both serving and neighbour cell measurements on the indicated SCC in a band.</w:t>
            </w:r>
          </w:p>
          <w:p>
            <w:pPr>
              <w:numPr>
                <w:ilvl w:val="1"/>
                <w:numId w:val="4"/>
              </w:numPr>
              <w:snapToGrid w:val="0"/>
              <w:spacing w:after="120"/>
              <w:rPr>
                <w:rFonts w:eastAsia="宋体"/>
                <w:iCs/>
              </w:rPr>
            </w:pPr>
            <w:r>
              <w:rPr>
                <w:rFonts w:hint="eastAsia" w:eastAsia="宋体"/>
                <w:iCs/>
              </w:rPr>
              <w:t>O</w:t>
            </w:r>
            <w:r>
              <w:rPr>
                <w:rFonts w:eastAsia="宋体"/>
                <w:iCs/>
              </w:rPr>
              <w:t xml:space="preserve">therwise, </w:t>
            </w:r>
            <w:r>
              <w:rPr>
                <w:iCs/>
              </w:rPr>
              <w:t>UE will perform serving and neighbor cell measurements on one SCC per band, which SCC to measure is up to UE implementation.</w:t>
            </w:r>
          </w:p>
          <w:p>
            <w:pPr>
              <w:pStyle w:val="29"/>
              <w:numPr>
                <w:ilvl w:val="0"/>
                <w:numId w:val="4"/>
              </w:numPr>
              <w:overflowPunct/>
              <w:autoSpaceDE/>
              <w:autoSpaceDN/>
              <w:adjustRightInd/>
              <w:spacing w:after="120"/>
              <w:ind w:firstLineChars="0"/>
              <w:textAlignment w:val="auto"/>
              <w:rPr>
                <w:rFonts w:hint="default"/>
                <w:vertAlign w:val="baseline"/>
                <w:lang w:val="en-US" w:eastAsia="zh-CN"/>
              </w:rPr>
            </w:pPr>
            <w:r>
              <w:rPr>
                <w:rFonts w:eastAsia="宋体"/>
              </w:rPr>
              <w:t>Proposal 2: RAN4 to discuss the potential revision on network indication requests of solution 1, and if agreed, send LS to RAN2 for update.</w:t>
            </w:r>
          </w:p>
        </w:tc>
      </w:tr>
    </w:tbl>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default" w:cs="Arial"/>
          <w:lang w:val="en-US" w:eastAsia="zh-CN"/>
        </w:rPr>
      </w:pPr>
      <w:r>
        <w:rPr>
          <w:rFonts w:hint="eastAsia" w:cs="Arial"/>
          <w:lang w:val="en-US" w:eastAsia="zh-CN"/>
        </w:rPr>
        <w:t>Based on our previous agreements, actually the priority order is PCC/PSCC &gt; SCC configured with SSB based reporting &gt; SCC not configured with SSB based reporting. UE follows such priority order to determine one SCC to measurement both serving cell and neighbour cell per band if no interested SCC is configured by NW, otherwise the interested SCC is to be measured including both serving cell and neighbour cell in this band. It should be noted that such measurement reduction in unit of band is to reduce both serving cell and neighbour cell measurement. Based on the specification in 38.331, UE has to report the measurement results corresponding to all serving cells declared as ServingCellMO regardless the SSB based reporting is configured or not in the relevant MO configuration. We listed relevant IEs as below. Only for the measurement results corresponding to the neighbour cell, whether to report the measurement results, which is optional and up to the reporting configuration.</w:t>
      </w:r>
    </w:p>
    <w:p>
      <w:pPr>
        <w:pStyle w:val="58"/>
      </w:pPr>
      <w:r>
        <w:t xml:space="preserve">MeasResults ::=                         </w:t>
      </w:r>
      <w:r>
        <w:rPr>
          <w:color w:val="993366"/>
        </w:rPr>
        <w:t>SEQUENCE</w:t>
      </w:r>
      <w:r>
        <w:t xml:space="preserve"> {</w:t>
      </w:r>
    </w:p>
    <w:p>
      <w:pPr>
        <w:pStyle w:val="58"/>
      </w:pPr>
      <w:r>
        <w:t xml:space="preserve">    measId                                  MeasId,</w:t>
      </w:r>
    </w:p>
    <w:p>
      <w:pPr>
        <w:pStyle w:val="58"/>
      </w:pPr>
      <w:r>
        <w:t xml:space="preserve">    measResultServingMOList                 MeasResultServMOList,</w:t>
      </w:r>
    </w:p>
    <w:p>
      <w:pPr>
        <w:pStyle w:val="58"/>
      </w:pPr>
      <w:r>
        <w:t xml:space="preserve">    measResultNeighCells                    </w:t>
      </w:r>
      <w:r>
        <w:rPr>
          <w:color w:val="993366"/>
        </w:rPr>
        <w:t>CHOICE</w:t>
      </w:r>
      <w:r>
        <w:t xml:space="preserve"> {</w:t>
      </w:r>
    </w:p>
    <w:p>
      <w:pPr>
        <w:pStyle w:val="58"/>
      </w:pPr>
      <w:r>
        <w:t xml:space="preserve">        measResultListNR                        MeasResultListNR,</w:t>
      </w:r>
    </w:p>
    <w:p>
      <w:pPr>
        <w:pStyle w:val="58"/>
      </w:pPr>
      <w:r>
        <w:t xml:space="preserve">        ...,</w:t>
      </w:r>
    </w:p>
    <w:p>
      <w:pPr>
        <w:pStyle w:val="58"/>
      </w:pPr>
      <w:r>
        <w:t xml:space="preserve">        measResultListEUTRA                     MeasResultListEUTRA,</w:t>
      </w:r>
    </w:p>
    <w:p>
      <w:pPr>
        <w:pStyle w:val="58"/>
      </w:pPr>
      <w:r>
        <w:t xml:space="preserve">        measResultListUTRA-FDD-r16              MeasResultListUTRA-FDD-r16,</w:t>
      </w:r>
    </w:p>
    <w:p>
      <w:pPr>
        <w:pStyle w:val="58"/>
        <w:rPr>
          <w:color w:val="808080"/>
        </w:rPr>
      </w:pPr>
      <w:r>
        <w:t xml:space="preserve">        sl-MeasResultsCandRelay-r17             </w:t>
      </w:r>
      <w:r>
        <w:rPr>
          <w:color w:val="993366"/>
        </w:rPr>
        <w:t>OCTET</w:t>
      </w:r>
      <w:r>
        <w:t xml:space="preserve"> </w:t>
      </w:r>
      <w:r>
        <w:rPr>
          <w:color w:val="993366"/>
        </w:rPr>
        <w:t>STRING</w:t>
      </w:r>
      <w:r>
        <w:t xml:space="preserve">        </w:t>
      </w:r>
      <w:r>
        <w:rPr>
          <w:color w:val="808080"/>
        </w:rPr>
        <w:t>-- Contains PC5 SL-MeasResultListRelay-r17</w:t>
      </w:r>
    </w:p>
    <w:p>
      <w:pPr>
        <w:pStyle w:val="58"/>
      </w:pPr>
      <w:r>
        <w:t xml:space="preserve">    }                                                                                                                   </w:t>
      </w:r>
      <w:r>
        <w:rPr>
          <w:color w:val="993366"/>
        </w:rPr>
        <w:t>OPTIONAL</w:t>
      </w:r>
      <w:r>
        <w:t>,</w:t>
      </w:r>
    </w:p>
    <w:p>
      <w:pPr>
        <w:pStyle w:val="58"/>
      </w:pPr>
      <w:r>
        <w:t xml:space="preserve">    ...,</w:t>
      </w:r>
    </w:p>
    <w:p>
      <w:pPr>
        <w:pStyle w:val="58"/>
        <w:rPr>
          <w:sz w:val="13"/>
          <w:szCs w:val="13"/>
        </w:rPr>
      </w:pPr>
      <w:r>
        <w:t>}</w:t>
      </w:r>
    </w:p>
    <w:p>
      <w:pPr>
        <w:pStyle w:val="58"/>
      </w:pPr>
      <w:r>
        <w:t xml:space="preserve">MeasResultServMOList ::=                </w:t>
      </w:r>
      <w:r>
        <w:rPr>
          <w:color w:val="993366"/>
        </w:rPr>
        <w:t>SEQUENCE</w:t>
      </w:r>
      <w:r>
        <w:t xml:space="preserve"> (</w:t>
      </w:r>
      <w:r>
        <w:rPr>
          <w:color w:val="993366"/>
        </w:rPr>
        <w:t>SIZE</w:t>
      </w:r>
      <w:r>
        <w:t xml:space="preserve"> (1..maxNrofServingCells))</w:t>
      </w:r>
      <w:r>
        <w:rPr>
          <w:color w:val="993366"/>
        </w:rPr>
        <w:t xml:space="preserve"> OF</w:t>
      </w:r>
      <w:r>
        <w:t xml:space="preserve"> MeasResultServMO</w:t>
      </w:r>
    </w:p>
    <w:p>
      <w:pPr>
        <w:pStyle w:val="58"/>
      </w:pPr>
    </w:p>
    <w:p>
      <w:pPr>
        <w:pStyle w:val="58"/>
      </w:pPr>
      <w:r>
        <w:t xml:space="preserve">MeasResultServMO ::=                    </w:t>
      </w:r>
      <w:r>
        <w:rPr>
          <w:color w:val="993366"/>
        </w:rPr>
        <w:t>SEQUENCE</w:t>
      </w:r>
      <w:r>
        <w:t xml:space="preserve"> {</w:t>
      </w:r>
    </w:p>
    <w:p>
      <w:pPr>
        <w:pStyle w:val="58"/>
      </w:pPr>
      <w:r>
        <w:t xml:space="preserve">    servCellId                              ServCellIndex,</w:t>
      </w:r>
    </w:p>
    <w:p>
      <w:pPr>
        <w:pStyle w:val="58"/>
      </w:pPr>
      <w:r>
        <w:t xml:space="preserve">    measResultServingCell                   MeasResultNR,</w:t>
      </w:r>
    </w:p>
    <w:p>
      <w:pPr>
        <w:pStyle w:val="58"/>
      </w:pPr>
      <w:r>
        <w:t xml:space="preserve">    measResultBestNeighCell                 MeasResultNR                                                                </w:t>
      </w:r>
      <w:r>
        <w:rPr>
          <w:color w:val="993366"/>
        </w:rPr>
        <w:t>OPTIONAL</w:t>
      </w:r>
      <w:r>
        <w:t>,</w:t>
      </w:r>
    </w:p>
    <w:p>
      <w:pPr>
        <w:pStyle w:val="58"/>
      </w:pPr>
      <w:r>
        <w:t xml:space="preserve">    ...</w:t>
      </w:r>
    </w:p>
    <w:p>
      <w:pPr>
        <w:pStyle w:val="58"/>
      </w:pPr>
      <w:r>
        <w:t>}</w:t>
      </w:r>
    </w:p>
    <w:p>
      <w:pPr>
        <w:pStyle w:val="9"/>
        <w:numPr>
          <w:ilvl w:val="0"/>
          <w:numId w:val="0"/>
        </w:numPr>
        <w:bidi w:val="0"/>
        <w:ind w:leftChars="0"/>
        <w:rPr>
          <w:rFonts w:hint="eastAsia"/>
          <w:b/>
          <w:bCs/>
          <w:lang w:val="en-US" w:eastAsia="zh-CN"/>
        </w:rPr>
      </w:pPr>
    </w:p>
    <w:p>
      <w:pPr>
        <w:pStyle w:val="9"/>
        <w:numPr>
          <w:ilvl w:val="0"/>
          <w:numId w:val="0"/>
        </w:numPr>
        <w:bidi w:val="0"/>
        <w:ind w:leftChars="0"/>
        <w:rPr>
          <w:rFonts w:hint="default"/>
          <w:b/>
          <w:bCs/>
          <w:lang w:val="en-US" w:eastAsia="zh-CN"/>
        </w:rPr>
      </w:pPr>
      <w:r>
        <w:rPr>
          <w:rFonts w:hint="eastAsia"/>
          <w:b/>
          <w:bCs/>
          <w:lang w:val="en-US" w:eastAsia="zh-CN"/>
        </w:rPr>
        <w:t xml:space="preserve">Observation 1: Based on 38.331 specification, legacy UE should measure and report all serving cells measurement results by default as long as ServingCellMO configured regardless the SSB based reporting is configured or not, i.e. the serving cell measurement reporting is mandatory and the neighbour cell measurement reporting is optional. </w:t>
      </w:r>
    </w:p>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eastAsia" w:cs="Arial"/>
          <w:lang w:val="en-US" w:eastAsia="zh-CN"/>
        </w:rPr>
      </w:pPr>
      <w:r>
        <w:rPr>
          <w:rFonts w:hint="eastAsia" w:cs="Arial"/>
          <w:lang w:val="en-US" w:eastAsia="zh-CN"/>
        </w:rPr>
        <w:t>So even under the case of neither PCC/PSCC nor SCC configured with SSB based reporting in the band, i.e. only multiple SCCs without SSB based reporting are configured in the band, the NW indication of interested SCC is still meaningful since which could indicate one serving cell to measure and report, otherwise, UE has to measure and report all serving cells.</w:t>
      </w:r>
    </w:p>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default" w:cs="Arial"/>
          <w:lang w:val="en-US" w:eastAsia="zh-CN"/>
        </w:rPr>
      </w:pPr>
      <w:r>
        <w:rPr>
          <w:rFonts w:hint="eastAsia"/>
          <w:b/>
          <w:bCs/>
          <w:lang w:val="en-US" w:eastAsia="zh-CN"/>
        </w:rPr>
        <w:t>Proposal 1: Not to revise solution 1. NW indication of interested SCC is meaningful even only multiple SCCs without SSB based reporting are configured in the band. Under such case, the NW indication is used to indicate which serving cell to be measured and reported at least.</w:t>
      </w:r>
    </w:p>
    <w:p>
      <w:pPr>
        <w:keepNext w:val="0"/>
        <w:keepLines w:val="0"/>
        <w:pageBreakBefore w:val="0"/>
        <w:widowControl/>
        <w:numPr>
          <w:ilvl w:val="0"/>
          <w:numId w:val="0"/>
        </w:numPr>
        <w:kinsoku/>
        <w:wordWrap/>
        <w:overflowPunct/>
        <w:topLinePunct w:val="0"/>
        <w:autoSpaceDE/>
        <w:autoSpaceDN/>
        <w:bidi w:val="0"/>
        <w:adjustRightInd/>
        <w:snapToGrid/>
        <w:spacing w:after="157" w:afterLines="50"/>
        <w:ind w:leftChars="0"/>
        <w:textAlignment w:val="auto"/>
        <w:rPr>
          <w:rFonts w:hint="eastAsia"/>
          <w:u w:val="single"/>
          <w:lang w:val="en-US" w:eastAsia="zh-CN"/>
        </w:rPr>
      </w:pPr>
    </w:p>
    <w:p>
      <w:pPr>
        <w:keepNext w:val="0"/>
        <w:keepLines w:val="0"/>
        <w:pageBreakBefore w:val="0"/>
        <w:widowControl/>
        <w:numPr>
          <w:ilvl w:val="0"/>
          <w:numId w:val="0"/>
        </w:numPr>
        <w:kinsoku/>
        <w:wordWrap/>
        <w:overflowPunct/>
        <w:topLinePunct w:val="0"/>
        <w:autoSpaceDE/>
        <w:autoSpaceDN/>
        <w:bidi w:val="0"/>
        <w:adjustRightInd/>
        <w:snapToGrid/>
        <w:spacing w:after="157" w:afterLines="50"/>
        <w:ind w:leftChars="0"/>
        <w:textAlignment w:val="auto"/>
        <w:rPr>
          <w:rFonts w:hint="default"/>
          <w:lang w:val="en-US" w:eastAsia="zh-CN"/>
        </w:rPr>
      </w:pPr>
      <w:r>
        <w:rPr>
          <w:rFonts w:hint="eastAsia"/>
          <w:u w:val="single"/>
          <w:lang w:val="en-US" w:eastAsia="zh-CN"/>
        </w:rPr>
        <w:t>Expand solution 1 to FR1 case</w:t>
      </w:r>
    </w:p>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default" w:cs="Arial"/>
          <w:lang w:val="en-US" w:eastAsia="zh-CN"/>
        </w:rPr>
      </w:pPr>
      <w:r>
        <w:rPr>
          <w:rFonts w:hint="eastAsia" w:cs="Arial"/>
          <w:lang w:val="en-US" w:eastAsia="zh-CN"/>
        </w:rPr>
        <w:t>Around the extention of solution 1 to FR1 case, some companies show concern in last meeting since picking one CC to represent the whole band in FR1 is a bit risky. Restriction such measurement reduction within the contiguous intra-band case is feasible and reasonable. Therefore we prefer to expand solution 1 to the intra-band contiguous CA in FR1.</w:t>
      </w:r>
    </w:p>
    <w:p>
      <w:pPr>
        <w:keepNext w:val="0"/>
        <w:keepLines w:val="0"/>
        <w:pageBreakBefore w:val="0"/>
        <w:widowControl/>
        <w:numPr>
          <w:ilvl w:val="0"/>
          <w:numId w:val="0"/>
        </w:numPr>
        <w:kinsoku/>
        <w:wordWrap/>
        <w:overflowPunct/>
        <w:topLinePunct w:val="0"/>
        <w:autoSpaceDE/>
        <w:autoSpaceDN/>
        <w:bidi w:val="0"/>
        <w:adjustRightInd/>
        <w:snapToGrid/>
        <w:spacing w:after="157" w:afterLines="50"/>
        <w:ind w:leftChars="0"/>
        <w:textAlignment w:val="auto"/>
        <w:rPr>
          <w:rFonts w:hint="eastAsia"/>
          <w:b/>
          <w:bCs/>
          <w:lang w:val="en-US" w:eastAsia="zh-CN"/>
        </w:rPr>
      </w:pPr>
      <w:r>
        <w:rPr>
          <w:rFonts w:hint="eastAsia"/>
          <w:b/>
          <w:bCs/>
          <w:lang w:val="en-US" w:eastAsia="zh-CN"/>
        </w:rPr>
        <w:t>Proposal 2: Expand the solution 1 to FR1 intra-band contiguous CA, i.e., measure one serving CC per FR1 band if all to-be-measured serving CCs in this FR1 band are contiguous.</w:t>
      </w:r>
    </w:p>
    <w:p>
      <w:pPr>
        <w:keepNext w:val="0"/>
        <w:keepLines w:val="0"/>
        <w:pageBreakBefore w:val="0"/>
        <w:widowControl/>
        <w:numPr>
          <w:ilvl w:val="0"/>
          <w:numId w:val="0"/>
        </w:numPr>
        <w:kinsoku/>
        <w:wordWrap/>
        <w:overflowPunct/>
        <w:topLinePunct w:val="0"/>
        <w:autoSpaceDE/>
        <w:autoSpaceDN/>
        <w:bidi w:val="0"/>
        <w:adjustRightInd/>
        <w:snapToGrid/>
        <w:spacing w:after="157" w:afterLines="50"/>
        <w:ind w:leftChars="0"/>
        <w:textAlignment w:val="auto"/>
        <w:rPr>
          <w:rFonts w:hint="default"/>
          <w:u w:val="single"/>
          <w:lang w:val="en-US" w:eastAsia="zh-CN"/>
        </w:rPr>
      </w:pPr>
      <w:r>
        <w:rPr>
          <w:rFonts w:hint="eastAsia"/>
          <w:u w:val="single"/>
          <w:lang w:val="en-US" w:eastAsia="zh-CN"/>
        </w:rPr>
        <w:t>Detailed design for solution 3</w:t>
      </w:r>
    </w:p>
    <w:p>
      <w:pPr>
        <w:pStyle w:val="9"/>
        <w:numPr>
          <w:ilvl w:val="0"/>
          <w:numId w:val="0"/>
        </w:numPr>
        <w:bidi w:val="0"/>
        <w:ind w:leftChars="0"/>
        <w:rPr>
          <w:rFonts w:hint="eastAsia"/>
          <w:lang w:val="en-US" w:eastAsia="zh-CN"/>
        </w:rPr>
      </w:pPr>
      <w:r>
        <w:rPr>
          <w:rFonts w:hint="eastAsia"/>
          <w:lang w:val="en-US" w:eastAsia="zh-CN"/>
        </w:rPr>
        <w:t>During last meeting, the discussion was held around three tentative solutions:</w:t>
      </w:r>
    </w:p>
    <w:p>
      <w:pPr>
        <w:pStyle w:val="9"/>
        <w:numPr>
          <w:ilvl w:val="0"/>
          <w:numId w:val="8"/>
        </w:numPr>
        <w:bidi w:val="0"/>
        <w:ind w:left="420" w:leftChars="0" w:hanging="420" w:firstLineChars="0"/>
        <w:rPr>
          <w:rFonts w:hint="default"/>
          <w:lang w:val="en-US" w:eastAsia="zh-CN"/>
        </w:rPr>
      </w:pPr>
      <w:r>
        <w:rPr>
          <w:rFonts w:hint="default"/>
          <w:lang w:val="en-US" w:eastAsia="zh-CN"/>
        </w:rPr>
        <w:t>Tentative solution 1: measure one serving CC per band</w:t>
      </w:r>
    </w:p>
    <w:p>
      <w:pPr>
        <w:pStyle w:val="9"/>
        <w:numPr>
          <w:ilvl w:val="0"/>
          <w:numId w:val="8"/>
        </w:numPr>
        <w:bidi w:val="0"/>
        <w:ind w:left="420" w:leftChars="0" w:hanging="420" w:firstLineChars="0"/>
        <w:rPr>
          <w:rFonts w:hint="default"/>
          <w:lang w:val="en-US" w:eastAsia="zh-CN"/>
        </w:rPr>
      </w:pPr>
      <w:r>
        <w:rPr>
          <w:rFonts w:hint="default"/>
          <w:lang w:val="en-US" w:eastAsia="zh-CN"/>
        </w:rPr>
        <w:t>Tentative solution 2: change the searcher occupancy ratio of measurement among the measured CCs</w:t>
      </w:r>
    </w:p>
    <w:p>
      <w:pPr>
        <w:pStyle w:val="9"/>
        <w:numPr>
          <w:ilvl w:val="0"/>
          <w:numId w:val="8"/>
        </w:numPr>
        <w:bidi w:val="0"/>
        <w:ind w:left="420" w:leftChars="0" w:hanging="420" w:firstLineChars="0"/>
        <w:rPr>
          <w:rFonts w:hint="default"/>
          <w:lang w:val="en-US" w:eastAsia="zh-CN"/>
        </w:rPr>
      </w:pPr>
      <w:r>
        <w:rPr>
          <w:rFonts w:hint="default"/>
          <w:lang w:val="en-US" w:eastAsia="zh-CN"/>
        </w:rPr>
        <w:t xml:space="preserve">Tentative solution </w:t>
      </w:r>
      <w:r>
        <w:rPr>
          <w:rFonts w:hint="eastAsia"/>
          <w:lang w:val="en-US" w:eastAsia="zh-CN"/>
        </w:rPr>
        <w:t>3</w:t>
      </w:r>
      <w:r>
        <w:rPr>
          <w:rFonts w:hint="default"/>
          <w:lang w:val="en-US" w:eastAsia="zh-CN"/>
        </w:rPr>
        <w:t>: 3 searchers for CSSF</w:t>
      </w:r>
    </w:p>
    <w:p>
      <w:pPr>
        <w:pStyle w:val="9"/>
        <w:numPr>
          <w:ilvl w:val="0"/>
          <w:numId w:val="0"/>
        </w:numPr>
        <w:bidi w:val="0"/>
        <w:ind w:leftChars="0"/>
        <w:rPr>
          <w:rFonts w:hint="eastAsia"/>
          <w:lang w:val="en-US" w:eastAsia="zh-CN"/>
        </w:rPr>
      </w:pPr>
      <w:r>
        <w:rPr>
          <w:rFonts w:hint="eastAsia"/>
          <w:lang w:val="en-US" w:eastAsia="zh-CN"/>
        </w:rPr>
        <w:t>Tentative solution 1 has been concluded in last meeting, no need further discussion. For Tentative solution 2, since the concern on the potential impact on PCell measurement, companies are a kind of conservative on it, so RAN4 decieded not to support Teneative solution 2. In such situation, only the Tentatvie solution 3 can be used to implement the demand of prioritizing some specific frequency layer by NW. So companies are still diverse on Tentative solution 3.</w:t>
      </w:r>
    </w:p>
    <w:p>
      <w:pPr>
        <w:pStyle w:val="9"/>
        <w:numPr>
          <w:ilvl w:val="0"/>
          <w:numId w:val="0"/>
        </w:numPr>
        <w:bidi w:val="0"/>
        <w:ind w:leftChars="0"/>
        <w:rPr>
          <w:rFonts w:hint="eastAsia"/>
          <w:lang w:val="en-US" w:eastAsia="zh-CN"/>
        </w:rPr>
      </w:pPr>
      <w:r>
        <w:rPr>
          <w:rFonts w:hint="eastAsia"/>
          <w:lang w:val="en-US" w:eastAsia="zh-CN"/>
        </w:rPr>
        <w:t xml:space="preserve">From our perspective, since solution 2 is decided not to develop, if NW wants to prioritize any SCC frequency layer for inter-band case, which can only reply on Solution 3. So we hope Solution 3 can leave room for such NW demand. </w:t>
      </w:r>
    </w:p>
    <w:p>
      <w:pPr>
        <w:pStyle w:val="9"/>
        <w:numPr>
          <w:ilvl w:val="0"/>
          <w:numId w:val="0"/>
        </w:numPr>
        <w:bidi w:val="0"/>
        <w:ind w:leftChars="0"/>
        <w:rPr>
          <w:rFonts w:hint="default"/>
          <w:b/>
          <w:bCs/>
          <w:lang w:val="en-US" w:eastAsia="zh-CN"/>
        </w:rPr>
      </w:pPr>
      <w:r>
        <w:rPr>
          <w:rFonts w:hint="eastAsia"/>
          <w:b/>
          <w:bCs/>
          <w:lang w:val="en-US" w:eastAsia="zh-CN"/>
        </w:rPr>
        <w:t>Proposal 3: For solution 3, the 3</w:t>
      </w:r>
      <w:r>
        <w:rPr>
          <w:rFonts w:hint="eastAsia"/>
          <w:b/>
          <w:bCs/>
          <w:vertAlign w:val="superscript"/>
          <w:lang w:val="en-US" w:eastAsia="zh-CN"/>
        </w:rPr>
        <w:t>rd</w:t>
      </w:r>
      <w:r>
        <w:rPr>
          <w:rFonts w:hint="eastAsia"/>
          <w:b/>
          <w:bCs/>
          <w:lang w:val="en-US" w:eastAsia="zh-CN"/>
        </w:rPr>
        <w:t xml:space="preserve"> searcher resouce sharing is same as the 2</w:t>
      </w:r>
      <w:r>
        <w:rPr>
          <w:rFonts w:hint="eastAsia"/>
          <w:b/>
          <w:bCs/>
          <w:vertAlign w:val="superscript"/>
          <w:lang w:val="en-US" w:eastAsia="zh-CN"/>
        </w:rPr>
        <w:t>nd</w:t>
      </w:r>
      <w:r>
        <w:rPr>
          <w:rFonts w:hint="eastAsia"/>
          <w:b/>
          <w:bCs/>
          <w:lang w:val="en-US" w:eastAsia="zh-CN"/>
        </w:rPr>
        <w:t xml:space="preserve"> searcher sharing by default. If one SCC is prioritized by NW indication, the 3</w:t>
      </w:r>
      <w:r>
        <w:rPr>
          <w:rFonts w:hint="eastAsia"/>
          <w:b/>
          <w:bCs/>
          <w:vertAlign w:val="superscript"/>
          <w:lang w:val="en-US" w:eastAsia="zh-CN"/>
        </w:rPr>
        <w:t>rd</w:t>
      </w:r>
      <w:r>
        <w:rPr>
          <w:rFonts w:hint="eastAsia"/>
          <w:b/>
          <w:bCs/>
          <w:lang w:val="en-US" w:eastAsia="zh-CN"/>
        </w:rPr>
        <w:t xml:space="preserve"> searcher is exclusively used by the prioritized SCC.</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9"/>
        <w:tabs>
          <w:tab w:val="left" w:pos="226"/>
          <w:tab w:val="left" w:pos="284"/>
          <w:tab w:val="left" w:pos="5103"/>
        </w:tabs>
        <w:snapToGrid w:val="0"/>
        <w:rPr>
          <w:rFonts w:hint="eastAsia" w:eastAsia="宋体"/>
          <w:bCs/>
          <w:color w:val="auto"/>
          <w:sz w:val="20"/>
          <w:szCs w:val="20"/>
          <w:lang w:val="en-US"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we have the following</w:t>
      </w:r>
      <w:r>
        <w:rPr>
          <w:rFonts w:hint="eastAsia" w:eastAsia="宋体"/>
          <w:bCs/>
          <w:color w:val="auto"/>
          <w:sz w:val="20"/>
          <w:szCs w:val="20"/>
          <w:lang w:val="en-US" w:eastAsia="zh-CN"/>
        </w:rPr>
        <w:t xml:space="preserve"> p</w:t>
      </w:r>
      <w:r>
        <w:rPr>
          <w:rFonts w:eastAsia="宋体"/>
          <w:bCs/>
          <w:color w:val="auto"/>
          <w:sz w:val="20"/>
          <w:szCs w:val="20"/>
          <w:lang w:val="en-GB" w:eastAsia="zh-CN"/>
        </w:rPr>
        <w:t>roposals</w:t>
      </w:r>
      <w:r>
        <w:rPr>
          <w:rFonts w:hint="eastAsia" w:eastAsia="宋体"/>
          <w:bCs/>
          <w:color w:val="auto"/>
          <w:sz w:val="20"/>
          <w:szCs w:val="20"/>
          <w:lang w:val="en-US" w:eastAsia="zh-CN"/>
        </w:rPr>
        <w:t xml:space="preserve"> on the RRM enhancements</w:t>
      </w:r>
      <w:r>
        <w:rPr>
          <w:rFonts w:eastAsia="宋体"/>
          <w:bCs/>
          <w:color w:val="auto"/>
          <w:sz w:val="20"/>
          <w:szCs w:val="20"/>
          <w:lang w:val="en-GB" w:eastAsia="zh-CN"/>
        </w:rPr>
        <w:t>:</w:t>
      </w:r>
      <w:r>
        <w:rPr>
          <w:rFonts w:hint="eastAsia" w:eastAsia="宋体"/>
          <w:bCs/>
          <w:color w:val="auto"/>
          <w:sz w:val="20"/>
          <w:szCs w:val="20"/>
          <w:lang w:val="en-US" w:eastAsia="zh-CN"/>
        </w:rPr>
        <w:t xml:space="preserve"> </w:t>
      </w:r>
    </w:p>
    <w:p>
      <w:pPr>
        <w:pStyle w:val="9"/>
        <w:numPr>
          <w:ilvl w:val="0"/>
          <w:numId w:val="0"/>
        </w:numPr>
        <w:bidi w:val="0"/>
        <w:ind w:leftChars="0"/>
        <w:rPr>
          <w:rFonts w:hint="default"/>
          <w:b/>
          <w:bCs/>
          <w:lang w:val="en-US" w:eastAsia="zh-CN"/>
        </w:rPr>
      </w:pPr>
      <w:r>
        <w:rPr>
          <w:rFonts w:hint="eastAsia"/>
          <w:b/>
          <w:bCs/>
          <w:lang w:val="en-US" w:eastAsia="zh-CN"/>
        </w:rPr>
        <w:t xml:space="preserve">Observation 1: Based on 38.331 specification, legacy UE should measure and report all serving cells measurement results by default as long as ServingCellMO configured regardless the SSB based reporting is configured or not, i.e. the serving cell measurement reporting is mandatory and the neighbour cell measurement reporting is optional. </w:t>
      </w:r>
    </w:p>
    <w:p>
      <w:pPr>
        <w:pStyle w:val="9"/>
        <w:numPr>
          <w:ilvl w:val="0"/>
          <w:numId w:val="0"/>
        </w:numPr>
        <w:bidi w:val="0"/>
        <w:ind w:leftChars="0"/>
        <w:rPr>
          <w:rFonts w:hint="eastAsia"/>
          <w:b/>
          <w:bCs/>
          <w:lang w:val="en-US" w:eastAsia="zh-CN"/>
        </w:rPr>
      </w:pPr>
      <w:r>
        <w:rPr>
          <w:rFonts w:hint="eastAsia"/>
          <w:b/>
          <w:bCs/>
          <w:lang w:val="en-US" w:eastAsia="zh-CN"/>
        </w:rPr>
        <w:t>Proposal 1: Not to revise solution 1. NW indication of interested SCC is meaningful even only multiple SCCs without SSB based reporting are configured in the band. Under such case, the NW indication is used to indicate which serving cell to be measured and reported at least.</w:t>
      </w:r>
    </w:p>
    <w:p>
      <w:pPr>
        <w:pStyle w:val="9"/>
        <w:numPr>
          <w:ilvl w:val="0"/>
          <w:numId w:val="0"/>
        </w:numPr>
        <w:bidi w:val="0"/>
        <w:ind w:leftChars="0"/>
        <w:rPr>
          <w:rFonts w:hint="eastAsia"/>
          <w:b/>
          <w:bCs/>
          <w:lang w:val="en-US" w:eastAsia="zh-CN"/>
        </w:rPr>
      </w:pPr>
      <w:r>
        <w:rPr>
          <w:rFonts w:hint="eastAsia"/>
          <w:b/>
          <w:bCs/>
          <w:lang w:val="en-US" w:eastAsia="zh-CN"/>
        </w:rPr>
        <w:t>Proposal 2: Expand the solution 1 to FR1 intra-band contiguous CA, i.e., measure one serving CC per FR1 band if all to-be-measured serving CCs in this FR1 band are contiguous.</w:t>
      </w:r>
    </w:p>
    <w:p>
      <w:pPr>
        <w:pStyle w:val="9"/>
        <w:numPr>
          <w:ilvl w:val="0"/>
          <w:numId w:val="0"/>
        </w:numPr>
        <w:bidi w:val="0"/>
        <w:ind w:leftChars="0"/>
        <w:rPr>
          <w:rFonts w:hint="eastAsia"/>
          <w:b/>
          <w:bCs/>
          <w:lang w:val="en-US" w:eastAsia="zh-CN"/>
        </w:rPr>
      </w:pPr>
      <w:r>
        <w:rPr>
          <w:rFonts w:hint="eastAsia"/>
          <w:b/>
          <w:bCs/>
          <w:lang w:val="en-US" w:eastAsia="zh-CN"/>
        </w:rPr>
        <w:t>Proposal 3: For solution 3, the 3rd searcher resouce sharing is same as the 2nd searcher sharing by default. If one SCC is prioritized by NW indication, the 3rd searcher is exclusively used by the prioritized SCC.</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10"/>
        <w:numPr>
          <w:ilvl w:val="0"/>
          <w:numId w:val="9"/>
        </w:numPr>
        <w:ind w:leftChars="0"/>
        <w:rPr>
          <w:rFonts w:hint="eastAsia"/>
          <w:color w:val="auto"/>
          <w:sz w:val="20"/>
          <w:szCs w:val="20"/>
          <w:highlight w:val="none"/>
          <w:lang w:val="en-US" w:eastAsia="zh-CN"/>
        </w:rPr>
      </w:pPr>
      <w:r>
        <w:rPr>
          <w:rFonts w:hint="eastAsia"/>
          <w:color w:val="auto"/>
          <w:sz w:val="20"/>
          <w:szCs w:val="20"/>
          <w:highlight w:val="none"/>
          <w:lang w:val="en-US" w:eastAsia="zh-CN"/>
        </w:rPr>
        <w:t xml:space="preserve"> R4-2504899 </w:t>
      </w:r>
      <w:r>
        <w:rPr>
          <w:rFonts w:hint="default"/>
          <w:color w:val="auto"/>
          <w:sz w:val="20"/>
          <w:szCs w:val="20"/>
          <w:highlight w:val="none"/>
          <w:lang w:val="en-US" w:eastAsia="zh-CN"/>
        </w:rPr>
        <w:t>“WF for NR_RRM_Ph5_Part1”</w:t>
      </w:r>
      <w:r>
        <w:rPr>
          <w:rFonts w:hint="eastAsia"/>
          <w:color w:val="auto"/>
          <w:sz w:val="20"/>
          <w:szCs w:val="20"/>
          <w:highlight w:val="none"/>
          <w:lang w:val="en-US" w:eastAsia="zh-CN"/>
        </w:rPr>
        <w:t>, Apple</w:t>
      </w:r>
    </w:p>
    <w:p>
      <w:pPr>
        <w:pStyle w:val="10"/>
        <w:numPr>
          <w:ilvl w:val="0"/>
          <w:numId w:val="0"/>
        </w:numPr>
        <w:ind w:leftChars="0"/>
        <w:rPr>
          <w:rFonts w:hint="eastAsia"/>
          <w:color w:val="auto"/>
          <w:sz w:val="20"/>
          <w:szCs w:val="20"/>
          <w:highlight w:val="none"/>
          <w:lang w:val="en-US" w:eastAsia="zh-CN"/>
        </w:rPr>
      </w:pPr>
    </w:p>
    <w:p>
      <w:pPr>
        <w:pStyle w:val="10"/>
        <w:numPr>
          <w:ilvl w:val="0"/>
          <w:numId w:val="0"/>
        </w:numPr>
        <w:ind w:leftChars="0"/>
        <w:rPr>
          <w:rFonts w:hint="eastAsia"/>
          <w:color w:val="auto"/>
          <w:sz w:val="20"/>
          <w:szCs w:val="20"/>
          <w:highlight w:val="none"/>
          <w:lang w:val="en-US" w:eastAsia="zh-CN"/>
        </w:rPr>
      </w:pPr>
    </w:p>
    <w:p>
      <w:pPr>
        <w:pStyle w:val="10"/>
        <w:numPr>
          <w:ilvl w:val="0"/>
          <w:numId w:val="0"/>
        </w:numPr>
        <w:ind w:leftChars="0"/>
        <w:rPr>
          <w:rFonts w:hint="default" w:eastAsia="宋体"/>
          <w:color w:val="auto"/>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DengXian">
    <w:altName w:val="宋体"/>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677102B"/>
    <w:multiLevelType w:val="singleLevel"/>
    <w:tmpl w:val="C677102B"/>
    <w:lvl w:ilvl="0" w:tentative="0">
      <w:start w:val="1"/>
      <w:numFmt w:val="bullet"/>
      <w:lvlText w:val=""/>
      <w:lvlJc w:val="left"/>
      <w:pPr>
        <w:ind w:left="420" w:hanging="420"/>
      </w:pPr>
      <w:rPr>
        <w:rFonts w:hint="default" w:ascii="Wingdings" w:hAnsi="Wingdings"/>
      </w:rPr>
    </w:lvl>
  </w:abstractNum>
  <w:abstractNum w:abstractNumId="1">
    <w:nsid w:val="DBCF5E2D"/>
    <w:multiLevelType w:val="singleLevel"/>
    <w:tmpl w:val="DBCF5E2D"/>
    <w:lvl w:ilvl="0" w:tentative="0">
      <w:start w:val="1"/>
      <w:numFmt w:val="bullet"/>
      <w:lvlText w:val=""/>
      <w:lvlJc w:val="left"/>
      <w:pPr>
        <w:ind w:left="420" w:hanging="420"/>
      </w:pPr>
      <w:rPr>
        <w:rFonts w:hint="default" w:ascii="Wingdings" w:hAnsi="Wingdings"/>
      </w:rPr>
    </w:lvl>
  </w:abstractNum>
  <w:abstractNum w:abstractNumId="2">
    <w:nsid w:val="DC4FDA6D"/>
    <w:multiLevelType w:val="singleLevel"/>
    <w:tmpl w:val="DC4FDA6D"/>
    <w:lvl w:ilvl="0" w:tentative="0">
      <w:start w:val="1"/>
      <w:numFmt w:val="decimal"/>
      <w:suff w:val="space"/>
      <w:lvlText w:val="[%1]"/>
      <w:lvlJc w:val="left"/>
    </w:lvl>
  </w:abstractNum>
  <w:abstractNum w:abstractNumId="3">
    <w:nsid w:val="01D75582"/>
    <w:multiLevelType w:val="multilevel"/>
    <w:tmpl w:val="01D75582"/>
    <w:lvl w:ilvl="0" w:tentative="0">
      <w:start w:val="1"/>
      <w:numFmt w:val="bullet"/>
      <w:lvlText w:val="•"/>
      <w:lvlJc w:val="left"/>
      <w:pPr>
        <w:ind w:left="420" w:hanging="420"/>
      </w:pPr>
      <w:rPr>
        <w:rFonts w:hint="default" w:ascii="Arial" w:hAnsi="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5">
    <w:nsid w:val="464B607B"/>
    <w:multiLevelType w:val="multilevel"/>
    <w:tmpl w:val="464B607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4D6E3167"/>
    <w:multiLevelType w:val="multilevel"/>
    <w:tmpl w:val="4D6E3167"/>
    <w:lvl w:ilvl="0" w:tentative="0">
      <w:start w:val="1"/>
      <w:numFmt w:val="decimal"/>
      <w:pStyle w:val="43"/>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7">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8">
    <w:nsid w:val="6B5B4F67"/>
    <w:multiLevelType w:val="multilevel"/>
    <w:tmpl w:val="6B5B4F67"/>
    <w:lvl w:ilvl="0" w:tentative="0">
      <w:start w:val="1"/>
      <w:numFmt w:val="decimal"/>
      <w:pStyle w:val="10"/>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8"/>
  </w:num>
  <w:num w:numId="2">
    <w:abstractNumId w:val="6"/>
  </w:num>
  <w:num w:numId="3">
    <w:abstractNumId w:val="4"/>
  </w:num>
  <w:num w:numId="4">
    <w:abstractNumId w:val="7"/>
  </w:num>
  <w:num w:numId="5">
    <w:abstractNumId w:val="5"/>
  </w:num>
  <w:num w:numId="6">
    <w:abstractNumId w:val="3"/>
  </w:num>
  <w:num w:numId="7">
    <w:abstractNumId w:val="1"/>
  </w:num>
  <w:num w:numId="8">
    <w:abstractNumId w:val="0"/>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0CB4"/>
    <w:rsid w:val="000B11A8"/>
    <w:rsid w:val="000B1C0B"/>
    <w:rsid w:val="000B24FA"/>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378"/>
    <w:rsid w:val="000D46CC"/>
    <w:rsid w:val="000D564A"/>
    <w:rsid w:val="000D5B1C"/>
    <w:rsid w:val="000D6C6E"/>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083"/>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E6B2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35D"/>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2992"/>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0C0A"/>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0D68"/>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020"/>
    <w:rsid w:val="00702864"/>
    <w:rsid w:val="007043BD"/>
    <w:rsid w:val="007046C6"/>
    <w:rsid w:val="00704CB0"/>
    <w:rsid w:val="00705B20"/>
    <w:rsid w:val="00705D19"/>
    <w:rsid w:val="00705ED7"/>
    <w:rsid w:val="00707604"/>
    <w:rsid w:val="007078BB"/>
    <w:rsid w:val="00710422"/>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60C2"/>
    <w:rsid w:val="00826F40"/>
    <w:rsid w:val="0082735D"/>
    <w:rsid w:val="008275BF"/>
    <w:rsid w:val="00827675"/>
    <w:rsid w:val="00827788"/>
    <w:rsid w:val="00827B2A"/>
    <w:rsid w:val="00827C60"/>
    <w:rsid w:val="008318E5"/>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2BC"/>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7794B"/>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20AB"/>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E7B00"/>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09E8"/>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271"/>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B5772"/>
    <w:rsid w:val="00FC0441"/>
    <w:rsid w:val="00FC0860"/>
    <w:rsid w:val="00FC1AB5"/>
    <w:rsid w:val="00FC2392"/>
    <w:rsid w:val="00FC3743"/>
    <w:rsid w:val="00FC73CD"/>
    <w:rsid w:val="00FC7560"/>
    <w:rsid w:val="00FD122F"/>
    <w:rsid w:val="00FD1708"/>
    <w:rsid w:val="00FD1B97"/>
    <w:rsid w:val="00FD1F2C"/>
    <w:rsid w:val="00FD22AB"/>
    <w:rsid w:val="00FD25E5"/>
    <w:rsid w:val="00FD2CF8"/>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053989"/>
    <w:rsid w:val="010B74FE"/>
    <w:rsid w:val="011736F3"/>
    <w:rsid w:val="01331776"/>
    <w:rsid w:val="013F36CE"/>
    <w:rsid w:val="015D74DE"/>
    <w:rsid w:val="018C289C"/>
    <w:rsid w:val="0192268C"/>
    <w:rsid w:val="01997316"/>
    <w:rsid w:val="01AC4740"/>
    <w:rsid w:val="01AF002B"/>
    <w:rsid w:val="01C32830"/>
    <w:rsid w:val="01DA1350"/>
    <w:rsid w:val="01DF5493"/>
    <w:rsid w:val="01F8458D"/>
    <w:rsid w:val="02201C06"/>
    <w:rsid w:val="02213226"/>
    <w:rsid w:val="023147A4"/>
    <w:rsid w:val="023E2814"/>
    <w:rsid w:val="023F4218"/>
    <w:rsid w:val="02441D28"/>
    <w:rsid w:val="024C7EDF"/>
    <w:rsid w:val="026123BD"/>
    <w:rsid w:val="026736F8"/>
    <w:rsid w:val="02793D66"/>
    <w:rsid w:val="027A396D"/>
    <w:rsid w:val="0289759D"/>
    <w:rsid w:val="028A6605"/>
    <w:rsid w:val="028B6A1D"/>
    <w:rsid w:val="028F1C3E"/>
    <w:rsid w:val="02D4144C"/>
    <w:rsid w:val="02D632EB"/>
    <w:rsid w:val="02D9227A"/>
    <w:rsid w:val="02FB11D4"/>
    <w:rsid w:val="03174CBD"/>
    <w:rsid w:val="03192F2B"/>
    <w:rsid w:val="03271B39"/>
    <w:rsid w:val="033222AF"/>
    <w:rsid w:val="03390FF5"/>
    <w:rsid w:val="034216A6"/>
    <w:rsid w:val="035042F5"/>
    <w:rsid w:val="03527DC7"/>
    <w:rsid w:val="03552799"/>
    <w:rsid w:val="035B40C3"/>
    <w:rsid w:val="037709BE"/>
    <w:rsid w:val="037D0CB3"/>
    <w:rsid w:val="03BA7C92"/>
    <w:rsid w:val="03BF7557"/>
    <w:rsid w:val="03C36414"/>
    <w:rsid w:val="03CC4B57"/>
    <w:rsid w:val="03D24498"/>
    <w:rsid w:val="03D4720A"/>
    <w:rsid w:val="03F2253D"/>
    <w:rsid w:val="04002E3E"/>
    <w:rsid w:val="041A3DB6"/>
    <w:rsid w:val="043075B1"/>
    <w:rsid w:val="0449798F"/>
    <w:rsid w:val="0453753A"/>
    <w:rsid w:val="045A5C38"/>
    <w:rsid w:val="04654053"/>
    <w:rsid w:val="046B34D6"/>
    <w:rsid w:val="046D3DD6"/>
    <w:rsid w:val="046F3AAD"/>
    <w:rsid w:val="04793516"/>
    <w:rsid w:val="047A3CFF"/>
    <w:rsid w:val="0486741C"/>
    <w:rsid w:val="048960D6"/>
    <w:rsid w:val="04965F37"/>
    <w:rsid w:val="049E4425"/>
    <w:rsid w:val="04A17C34"/>
    <w:rsid w:val="04A97D90"/>
    <w:rsid w:val="04B13CDD"/>
    <w:rsid w:val="04B462CA"/>
    <w:rsid w:val="04B542BF"/>
    <w:rsid w:val="04D86586"/>
    <w:rsid w:val="05000AB1"/>
    <w:rsid w:val="05317828"/>
    <w:rsid w:val="053431DE"/>
    <w:rsid w:val="0539494E"/>
    <w:rsid w:val="05477E90"/>
    <w:rsid w:val="056768FD"/>
    <w:rsid w:val="056942FD"/>
    <w:rsid w:val="056F2F5E"/>
    <w:rsid w:val="05713564"/>
    <w:rsid w:val="05734D57"/>
    <w:rsid w:val="057607A6"/>
    <w:rsid w:val="057A3ED1"/>
    <w:rsid w:val="057E1E64"/>
    <w:rsid w:val="058A7125"/>
    <w:rsid w:val="059A073C"/>
    <w:rsid w:val="05A13D19"/>
    <w:rsid w:val="05A25649"/>
    <w:rsid w:val="05A3740D"/>
    <w:rsid w:val="05BB5AB9"/>
    <w:rsid w:val="05C42923"/>
    <w:rsid w:val="05D22BAE"/>
    <w:rsid w:val="05D94B0F"/>
    <w:rsid w:val="05DA1E27"/>
    <w:rsid w:val="05F04135"/>
    <w:rsid w:val="05F27EC0"/>
    <w:rsid w:val="05F74C0D"/>
    <w:rsid w:val="05FD20D2"/>
    <w:rsid w:val="060923CE"/>
    <w:rsid w:val="060F678F"/>
    <w:rsid w:val="06221798"/>
    <w:rsid w:val="06233B87"/>
    <w:rsid w:val="063B6F48"/>
    <w:rsid w:val="06462CE4"/>
    <w:rsid w:val="066E6CB6"/>
    <w:rsid w:val="06813EB6"/>
    <w:rsid w:val="06963BA6"/>
    <w:rsid w:val="06965F3C"/>
    <w:rsid w:val="069A0DB7"/>
    <w:rsid w:val="06A430F4"/>
    <w:rsid w:val="06A732F8"/>
    <w:rsid w:val="06BF7338"/>
    <w:rsid w:val="06C40C29"/>
    <w:rsid w:val="06CB5067"/>
    <w:rsid w:val="06CC21D9"/>
    <w:rsid w:val="06D2721D"/>
    <w:rsid w:val="06DE590B"/>
    <w:rsid w:val="06E87421"/>
    <w:rsid w:val="06F15E1D"/>
    <w:rsid w:val="06F2189D"/>
    <w:rsid w:val="070B7354"/>
    <w:rsid w:val="07192D61"/>
    <w:rsid w:val="072A67BD"/>
    <w:rsid w:val="0730075A"/>
    <w:rsid w:val="073E6558"/>
    <w:rsid w:val="074D5303"/>
    <w:rsid w:val="07516DF0"/>
    <w:rsid w:val="07591FC7"/>
    <w:rsid w:val="07674933"/>
    <w:rsid w:val="077016F0"/>
    <w:rsid w:val="0774438D"/>
    <w:rsid w:val="079B4DA3"/>
    <w:rsid w:val="07CD3CDD"/>
    <w:rsid w:val="07CE116F"/>
    <w:rsid w:val="07DC5FE3"/>
    <w:rsid w:val="07E51502"/>
    <w:rsid w:val="07F37416"/>
    <w:rsid w:val="080A3AE6"/>
    <w:rsid w:val="080F6EA0"/>
    <w:rsid w:val="083C577C"/>
    <w:rsid w:val="08494E41"/>
    <w:rsid w:val="084F1856"/>
    <w:rsid w:val="0855671D"/>
    <w:rsid w:val="08604274"/>
    <w:rsid w:val="086A442F"/>
    <w:rsid w:val="089009EB"/>
    <w:rsid w:val="08A10821"/>
    <w:rsid w:val="08A9721B"/>
    <w:rsid w:val="08AC533F"/>
    <w:rsid w:val="08B03C7C"/>
    <w:rsid w:val="08D25301"/>
    <w:rsid w:val="08DC1C1B"/>
    <w:rsid w:val="08E5253F"/>
    <w:rsid w:val="08EE38FB"/>
    <w:rsid w:val="08EF63A8"/>
    <w:rsid w:val="08F76B7A"/>
    <w:rsid w:val="08F87AC6"/>
    <w:rsid w:val="08FF2105"/>
    <w:rsid w:val="090E6873"/>
    <w:rsid w:val="092D77C1"/>
    <w:rsid w:val="092F3F55"/>
    <w:rsid w:val="093130D5"/>
    <w:rsid w:val="09324384"/>
    <w:rsid w:val="093E66C6"/>
    <w:rsid w:val="09591064"/>
    <w:rsid w:val="096E3BE0"/>
    <w:rsid w:val="09716BCA"/>
    <w:rsid w:val="097F0986"/>
    <w:rsid w:val="09855ADC"/>
    <w:rsid w:val="099A5B81"/>
    <w:rsid w:val="09A938FC"/>
    <w:rsid w:val="09AF7A99"/>
    <w:rsid w:val="09B43E60"/>
    <w:rsid w:val="09C53F70"/>
    <w:rsid w:val="09D64B23"/>
    <w:rsid w:val="09D92D83"/>
    <w:rsid w:val="09E6289B"/>
    <w:rsid w:val="09E644B8"/>
    <w:rsid w:val="09F45172"/>
    <w:rsid w:val="0A041656"/>
    <w:rsid w:val="0A0A79AC"/>
    <w:rsid w:val="0A0F23B7"/>
    <w:rsid w:val="0A1A31A1"/>
    <w:rsid w:val="0A1E5F47"/>
    <w:rsid w:val="0A3A507F"/>
    <w:rsid w:val="0A5F6393"/>
    <w:rsid w:val="0A70282B"/>
    <w:rsid w:val="0A992429"/>
    <w:rsid w:val="0AAC36DF"/>
    <w:rsid w:val="0AD017A1"/>
    <w:rsid w:val="0AE47427"/>
    <w:rsid w:val="0AEB4F7E"/>
    <w:rsid w:val="0B0362DC"/>
    <w:rsid w:val="0B12013A"/>
    <w:rsid w:val="0B1E364C"/>
    <w:rsid w:val="0B2D2436"/>
    <w:rsid w:val="0B3D3C2F"/>
    <w:rsid w:val="0B536C7D"/>
    <w:rsid w:val="0B5F1776"/>
    <w:rsid w:val="0B6E169D"/>
    <w:rsid w:val="0B735EF6"/>
    <w:rsid w:val="0B8D76AE"/>
    <w:rsid w:val="0B993DEF"/>
    <w:rsid w:val="0BAF5541"/>
    <w:rsid w:val="0BB0429A"/>
    <w:rsid w:val="0BB97253"/>
    <w:rsid w:val="0BDE36C2"/>
    <w:rsid w:val="0BE1300C"/>
    <w:rsid w:val="0BFF5FC6"/>
    <w:rsid w:val="0C265CE3"/>
    <w:rsid w:val="0C394019"/>
    <w:rsid w:val="0C491F24"/>
    <w:rsid w:val="0C5D35AC"/>
    <w:rsid w:val="0C636AE4"/>
    <w:rsid w:val="0C6D1703"/>
    <w:rsid w:val="0C847828"/>
    <w:rsid w:val="0C913829"/>
    <w:rsid w:val="0CB45430"/>
    <w:rsid w:val="0CBB2760"/>
    <w:rsid w:val="0CCE2258"/>
    <w:rsid w:val="0CD11C9B"/>
    <w:rsid w:val="0CDE4807"/>
    <w:rsid w:val="0CE27FBF"/>
    <w:rsid w:val="0CE55FC1"/>
    <w:rsid w:val="0CF53419"/>
    <w:rsid w:val="0CF54807"/>
    <w:rsid w:val="0CF5570E"/>
    <w:rsid w:val="0D020171"/>
    <w:rsid w:val="0D0A669A"/>
    <w:rsid w:val="0D0E54EC"/>
    <w:rsid w:val="0D1268DD"/>
    <w:rsid w:val="0D370E0E"/>
    <w:rsid w:val="0D5D45D3"/>
    <w:rsid w:val="0D631E83"/>
    <w:rsid w:val="0D6A2AEE"/>
    <w:rsid w:val="0D7507A0"/>
    <w:rsid w:val="0D9955D5"/>
    <w:rsid w:val="0DAD28F2"/>
    <w:rsid w:val="0DB121B1"/>
    <w:rsid w:val="0DB54FF2"/>
    <w:rsid w:val="0DCA30AF"/>
    <w:rsid w:val="0DCD4E20"/>
    <w:rsid w:val="0DCD7334"/>
    <w:rsid w:val="0E250BFD"/>
    <w:rsid w:val="0E25710B"/>
    <w:rsid w:val="0E43308A"/>
    <w:rsid w:val="0E6B7D9D"/>
    <w:rsid w:val="0E787DDC"/>
    <w:rsid w:val="0E847F74"/>
    <w:rsid w:val="0E8531E1"/>
    <w:rsid w:val="0EA97E6A"/>
    <w:rsid w:val="0EB75827"/>
    <w:rsid w:val="0EB81A25"/>
    <w:rsid w:val="0EBE47ED"/>
    <w:rsid w:val="0ED428FE"/>
    <w:rsid w:val="0EFE11ED"/>
    <w:rsid w:val="0EFE59BF"/>
    <w:rsid w:val="0F037D07"/>
    <w:rsid w:val="0F11411F"/>
    <w:rsid w:val="0F2F16F0"/>
    <w:rsid w:val="0F30051C"/>
    <w:rsid w:val="0F4D3D97"/>
    <w:rsid w:val="0F6A0E3E"/>
    <w:rsid w:val="0F794E4F"/>
    <w:rsid w:val="0F7C7661"/>
    <w:rsid w:val="0F8320AA"/>
    <w:rsid w:val="0F9020CF"/>
    <w:rsid w:val="0F9477AA"/>
    <w:rsid w:val="0F95025D"/>
    <w:rsid w:val="0FAB0611"/>
    <w:rsid w:val="0FBD1489"/>
    <w:rsid w:val="0FCD4412"/>
    <w:rsid w:val="0FCF7D7E"/>
    <w:rsid w:val="0FDB491F"/>
    <w:rsid w:val="0FE33E18"/>
    <w:rsid w:val="0FEF75C9"/>
    <w:rsid w:val="100147DD"/>
    <w:rsid w:val="10137061"/>
    <w:rsid w:val="10371D79"/>
    <w:rsid w:val="10394EC5"/>
    <w:rsid w:val="10431482"/>
    <w:rsid w:val="1050093A"/>
    <w:rsid w:val="10622620"/>
    <w:rsid w:val="10763213"/>
    <w:rsid w:val="10976697"/>
    <w:rsid w:val="10997F43"/>
    <w:rsid w:val="109E6D24"/>
    <w:rsid w:val="10A51B50"/>
    <w:rsid w:val="10B02E50"/>
    <w:rsid w:val="10B55701"/>
    <w:rsid w:val="10BE29C8"/>
    <w:rsid w:val="10CA7DAD"/>
    <w:rsid w:val="10CD22B3"/>
    <w:rsid w:val="10D239FD"/>
    <w:rsid w:val="10DE7BAE"/>
    <w:rsid w:val="10E02F32"/>
    <w:rsid w:val="10E30CCF"/>
    <w:rsid w:val="10EA570A"/>
    <w:rsid w:val="10EC4A65"/>
    <w:rsid w:val="10FB7D54"/>
    <w:rsid w:val="1101677B"/>
    <w:rsid w:val="11026884"/>
    <w:rsid w:val="11081CD6"/>
    <w:rsid w:val="111D0497"/>
    <w:rsid w:val="11204A65"/>
    <w:rsid w:val="11225E4F"/>
    <w:rsid w:val="112A3F2E"/>
    <w:rsid w:val="11334ECE"/>
    <w:rsid w:val="113E3112"/>
    <w:rsid w:val="11425846"/>
    <w:rsid w:val="1146775F"/>
    <w:rsid w:val="114A72FE"/>
    <w:rsid w:val="11543C70"/>
    <w:rsid w:val="11550B08"/>
    <w:rsid w:val="115C67A8"/>
    <w:rsid w:val="115D7DA8"/>
    <w:rsid w:val="116D0CDE"/>
    <w:rsid w:val="11756827"/>
    <w:rsid w:val="11944FFE"/>
    <w:rsid w:val="11951496"/>
    <w:rsid w:val="11972CBA"/>
    <w:rsid w:val="11A41805"/>
    <w:rsid w:val="11E12192"/>
    <w:rsid w:val="11E64E15"/>
    <w:rsid w:val="11E67EFD"/>
    <w:rsid w:val="11E70C39"/>
    <w:rsid w:val="11F02E4D"/>
    <w:rsid w:val="11F21955"/>
    <w:rsid w:val="120774A3"/>
    <w:rsid w:val="12282E47"/>
    <w:rsid w:val="122F64A8"/>
    <w:rsid w:val="12580C13"/>
    <w:rsid w:val="125F6DB3"/>
    <w:rsid w:val="12851695"/>
    <w:rsid w:val="12876D6F"/>
    <w:rsid w:val="12880E6C"/>
    <w:rsid w:val="128827B7"/>
    <w:rsid w:val="129B7281"/>
    <w:rsid w:val="12B55E5B"/>
    <w:rsid w:val="12C93B56"/>
    <w:rsid w:val="12D33822"/>
    <w:rsid w:val="12E61A24"/>
    <w:rsid w:val="12EC6A62"/>
    <w:rsid w:val="12F463A8"/>
    <w:rsid w:val="130240B0"/>
    <w:rsid w:val="130E4CB6"/>
    <w:rsid w:val="13164F7E"/>
    <w:rsid w:val="131777DF"/>
    <w:rsid w:val="131B1088"/>
    <w:rsid w:val="135E5007"/>
    <w:rsid w:val="13680711"/>
    <w:rsid w:val="13685EBE"/>
    <w:rsid w:val="13936078"/>
    <w:rsid w:val="13A4791C"/>
    <w:rsid w:val="13AD0E77"/>
    <w:rsid w:val="13AF5189"/>
    <w:rsid w:val="13B20357"/>
    <w:rsid w:val="13B37415"/>
    <w:rsid w:val="13C927E6"/>
    <w:rsid w:val="13F44C4B"/>
    <w:rsid w:val="13F45D5B"/>
    <w:rsid w:val="14006D19"/>
    <w:rsid w:val="14150C68"/>
    <w:rsid w:val="14224008"/>
    <w:rsid w:val="142F097C"/>
    <w:rsid w:val="14472E0D"/>
    <w:rsid w:val="14482929"/>
    <w:rsid w:val="144A2FAE"/>
    <w:rsid w:val="144C6C6D"/>
    <w:rsid w:val="146202A5"/>
    <w:rsid w:val="147C2187"/>
    <w:rsid w:val="1481754F"/>
    <w:rsid w:val="148343E7"/>
    <w:rsid w:val="148F5721"/>
    <w:rsid w:val="1495057E"/>
    <w:rsid w:val="14A835CD"/>
    <w:rsid w:val="14AC57CD"/>
    <w:rsid w:val="14B2558B"/>
    <w:rsid w:val="14B301B1"/>
    <w:rsid w:val="14D86281"/>
    <w:rsid w:val="14E13BC1"/>
    <w:rsid w:val="14EC3C3A"/>
    <w:rsid w:val="14FA2A13"/>
    <w:rsid w:val="153A0A1D"/>
    <w:rsid w:val="153A6EF0"/>
    <w:rsid w:val="1540202C"/>
    <w:rsid w:val="155456B8"/>
    <w:rsid w:val="15560C75"/>
    <w:rsid w:val="155B63E3"/>
    <w:rsid w:val="15647C42"/>
    <w:rsid w:val="157C7250"/>
    <w:rsid w:val="15820A7E"/>
    <w:rsid w:val="159F27CA"/>
    <w:rsid w:val="15B02C49"/>
    <w:rsid w:val="15B1349C"/>
    <w:rsid w:val="15B9327B"/>
    <w:rsid w:val="15BB5DD2"/>
    <w:rsid w:val="15C9388B"/>
    <w:rsid w:val="15DE19F4"/>
    <w:rsid w:val="15ED3E9B"/>
    <w:rsid w:val="15F04801"/>
    <w:rsid w:val="15F76967"/>
    <w:rsid w:val="15FB270D"/>
    <w:rsid w:val="160F72CA"/>
    <w:rsid w:val="16324BC3"/>
    <w:rsid w:val="164514BE"/>
    <w:rsid w:val="1664507D"/>
    <w:rsid w:val="167800AD"/>
    <w:rsid w:val="16A43190"/>
    <w:rsid w:val="16B9044D"/>
    <w:rsid w:val="16CB4FAD"/>
    <w:rsid w:val="16D15A1B"/>
    <w:rsid w:val="16E2576E"/>
    <w:rsid w:val="16E52F67"/>
    <w:rsid w:val="16EC135B"/>
    <w:rsid w:val="170F06AA"/>
    <w:rsid w:val="1715050E"/>
    <w:rsid w:val="171626FD"/>
    <w:rsid w:val="171D67DE"/>
    <w:rsid w:val="17225508"/>
    <w:rsid w:val="17235235"/>
    <w:rsid w:val="17271DD6"/>
    <w:rsid w:val="17273F04"/>
    <w:rsid w:val="174A25EB"/>
    <w:rsid w:val="174B1C04"/>
    <w:rsid w:val="17504EE3"/>
    <w:rsid w:val="175449A0"/>
    <w:rsid w:val="175516C6"/>
    <w:rsid w:val="175E421D"/>
    <w:rsid w:val="1763708A"/>
    <w:rsid w:val="177A53BF"/>
    <w:rsid w:val="178022B2"/>
    <w:rsid w:val="178131D1"/>
    <w:rsid w:val="179862E6"/>
    <w:rsid w:val="179941B3"/>
    <w:rsid w:val="179A7349"/>
    <w:rsid w:val="17AB3A62"/>
    <w:rsid w:val="17B13B40"/>
    <w:rsid w:val="17B667D5"/>
    <w:rsid w:val="17B800D8"/>
    <w:rsid w:val="17BC1358"/>
    <w:rsid w:val="17C75441"/>
    <w:rsid w:val="17D90F2F"/>
    <w:rsid w:val="17E3400D"/>
    <w:rsid w:val="17F30A5E"/>
    <w:rsid w:val="180A6E32"/>
    <w:rsid w:val="182964F7"/>
    <w:rsid w:val="182F4B80"/>
    <w:rsid w:val="18336130"/>
    <w:rsid w:val="183F2CD2"/>
    <w:rsid w:val="1856323E"/>
    <w:rsid w:val="185B34D0"/>
    <w:rsid w:val="18752FEE"/>
    <w:rsid w:val="18842E53"/>
    <w:rsid w:val="18984C00"/>
    <w:rsid w:val="18AF55E3"/>
    <w:rsid w:val="18B1519A"/>
    <w:rsid w:val="18BF24D0"/>
    <w:rsid w:val="18CD0507"/>
    <w:rsid w:val="18DE1743"/>
    <w:rsid w:val="18DF10CA"/>
    <w:rsid w:val="18E55751"/>
    <w:rsid w:val="18EA6536"/>
    <w:rsid w:val="18F55F0B"/>
    <w:rsid w:val="18FC0BD8"/>
    <w:rsid w:val="190B36B1"/>
    <w:rsid w:val="19102F40"/>
    <w:rsid w:val="191E67B0"/>
    <w:rsid w:val="19253B09"/>
    <w:rsid w:val="1936421F"/>
    <w:rsid w:val="1943224A"/>
    <w:rsid w:val="195130C3"/>
    <w:rsid w:val="19522CB1"/>
    <w:rsid w:val="195D7D48"/>
    <w:rsid w:val="196B06AB"/>
    <w:rsid w:val="19760650"/>
    <w:rsid w:val="19816103"/>
    <w:rsid w:val="198A598A"/>
    <w:rsid w:val="199E5FEF"/>
    <w:rsid w:val="19A43643"/>
    <w:rsid w:val="19AC798F"/>
    <w:rsid w:val="19CE6E52"/>
    <w:rsid w:val="19CF0631"/>
    <w:rsid w:val="19D55D37"/>
    <w:rsid w:val="19DF2889"/>
    <w:rsid w:val="1A1C23B7"/>
    <w:rsid w:val="1A273DF6"/>
    <w:rsid w:val="1A2810B2"/>
    <w:rsid w:val="1A4F4617"/>
    <w:rsid w:val="1A605D51"/>
    <w:rsid w:val="1A8264EB"/>
    <w:rsid w:val="1A8C1F35"/>
    <w:rsid w:val="1A961A54"/>
    <w:rsid w:val="1AAC72D1"/>
    <w:rsid w:val="1AAE4BD8"/>
    <w:rsid w:val="1AC2149C"/>
    <w:rsid w:val="1AD01A1B"/>
    <w:rsid w:val="1AFA5806"/>
    <w:rsid w:val="1B1A1B09"/>
    <w:rsid w:val="1B321828"/>
    <w:rsid w:val="1B3C31DB"/>
    <w:rsid w:val="1B3E7789"/>
    <w:rsid w:val="1B490617"/>
    <w:rsid w:val="1B494FD0"/>
    <w:rsid w:val="1B4978F8"/>
    <w:rsid w:val="1B61065A"/>
    <w:rsid w:val="1B6542E1"/>
    <w:rsid w:val="1B68181B"/>
    <w:rsid w:val="1B6F2614"/>
    <w:rsid w:val="1B701635"/>
    <w:rsid w:val="1B864FCD"/>
    <w:rsid w:val="1B926E11"/>
    <w:rsid w:val="1B9D4D17"/>
    <w:rsid w:val="1BB40DCE"/>
    <w:rsid w:val="1BB659BE"/>
    <w:rsid w:val="1BBF3927"/>
    <w:rsid w:val="1BC21A24"/>
    <w:rsid w:val="1BC46E30"/>
    <w:rsid w:val="1BE26818"/>
    <w:rsid w:val="1C097E78"/>
    <w:rsid w:val="1C0F554C"/>
    <w:rsid w:val="1C177B08"/>
    <w:rsid w:val="1C1D2DCD"/>
    <w:rsid w:val="1C281DA1"/>
    <w:rsid w:val="1C297E67"/>
    <w:rsid w:val="1C3D4FD9"/>
    <w:rsid w:val="1C3F6575"/>
    <w:rsid w:val="1C40382C"/>
    <w:rsid w:val="1C4A4EA7"/>
    <w:rsid w:val="1C5D4F10"/>
    <w:rsid w:val="1C5D5FB2"/>
    <w:rsid w:val="1C5F7E6D"/>
    <w:rsid w:val="1C636F57"/>
    <w:rsid w:val="1C851F98"/>
    <w:rsid w:val="1C9001C6"/>
    <w:rsid w:val="1CAD7BBF"/>
    <w:rsid w:val="1CB628F6"/>
    <w:rsid w:val="1CB73AD9"/>
    <w:rsid w:val="1CBA2101"/>
    <w:rsid w:val="1CBA74B5"/>
    <w:rsid w:val="1CBE2FC3"/>
    <w:rsid w:val="1CC80C9A"/>
    <w:rsid w:val="1CE926AF"/>
    <w:rsid w:val="1CEE01CF"/>
    <w:rsid w:val="1CF52476"/>
    <w:rsid w:val="1CFB779C"/>
    <w:rsid w:val="1D0573D7"/>
    <w:rsid w:val="1D153DC4"/>
    <w:rsid w:val="1D1A6D7C"/>
    <w:rsid w:val="1D223E0B"/>
    <w:rsid w:val="1D310B82"/>
    <w:rsid w:val="1D517C2F"/>
    <w:rsid w:val="1D5F5786"/>
    <w:rsid w:val="1D5F7042"/>
    <w:rsid w:val="1D68535F"/>
    <w:rsid w:val="1D7037B2"/>
    <w:rsid w:val="1D7A717D"/>
    <w:rsid w:val="1D9060CB"/>
    <w:rsid w:val="1D961153"/>
    <w:rsid w:val="1D9A206C"/>
    <w:rsid w:val="1DA55706"/>
    <w:rsid w:val="1DB24838"/>
    <w:rsid w:val="1DB50122"/>
    <w:rsid w:val="1DC72746"/>
    <w:rsid w:val="1DD663F1"/>
    <w:rsid w:val="1DE31B7A"/>
    <w:rsid w:val="1DEB5095"/>
    <w:rsid w:val="1DEC428E"/>
    <w:rsid w:val="1DF04968"/>
    <w:rsid w:val="1DFC183C"/>
    <w:rsid w:val="1E053DA4"/>
    <w:rsid w:val="1E0B3A3E"/>
    <w:rsid w:val="1E1016BE"/>
    <w:rsid w:val="1E130F58"/>
    <w:rsid w:val="1E132F88"/>
    <w:rsid w:val="1E152CCF"/>
    <w:rsid w:val="1E186D0C"/>
    <w:rsid w:val="1E2867E9"/>
    <w:rsid w:val="1E375205"/>
    <w:rsid w:val="1E424AE1"/>
    <w:rsid w:val="1E442C4B"/>
    <w:rsid w:val="1E4C6FA9"/>
    <w:rsid w:val="1E5C1C6B"/>
    <w:rsid w:val="1E7E2DE1"/>
    <w:rsid w:val="1E853F6F"/>
    <w:rsid w:val="1E9C7B40"/>
    <w:rsid w:val="1E9C7BCC"/>
    <w:rsid w:val="1EB03052"/>
    <w:rsid w:val="1EB05CAC"/>
    <w:rsid w:val="1ECC1E3C"/>
    <w:rsid w:val="1EEC0AD7"/>
    <w:rsid w:val="1EF733BD"/>
    <w:rsid w:val="1F035011"/>
    <w:rsid w:val="1F035EC0"/>
    <w:rsid w:val="1F08731E"/>
    <w:rsid w:val="1F1C0F96"/>
    <w:rsid w:val="1F1F0A33"/>
    <w:rsid w:val="1F224E53"/>
    <w:rsid w:val="1F2430F7"/>
    <w:rsid w:val="1F2D1872"/>
    <w:rsid w:val="1F313A77"/>
    <w:rsid w:val="1F3A27F5"/>
    <w:rsid w:val="1F3F3C9A"/>
    <w:rsid w:val="1F4024BB"/>
    <w:rsid w:val="1F48150B"/>
    <w:rsid w:val="1F5356E6"/>
    <w:rsid w:val="1F767C21"/>
    <w:rsid w:val="1F825E2E"/>
    <w:rsid w:val="1F86127F"/>
    <w:rsid w:val="1FA61EB8"/>
    <w:rsid w:val="1FB56588"/>
    <w:rsid w:val="1FBF0E1E"/>
    <w:rsid w:val="1FBF78D9"/>
    <w:rsid w:val="1FC06A5E"/>
    <w:rsid w:val="1FC2798E"/>
    <w:rsid w:val="1FCF7A17"/>
    <w:rsid w:val="1FFD2FEE"/>
    <w:rsid w:val="200E61D2"/>
    <w:rsid w:val="20376F9B"/>
    <w:rsid w:val="20380E72"/>
    <w:rsid w:val="20472F36"/>
    <w:rsid w:val="204926DE"/>
    <w:rsid w:val="20493615"/>
    <w:rsid w:val="205372AB"/>
    <w:rsid w:val="20544B01"/>
    <w:rsid w:val="206218B9"/>
    <w:rsid w:val="207078F2"/>
    <w:rsid w:val="20761331"/>
    <w:rsid w:val="207646CA"/>
    <w:rsid w:val="2077313E"/>
    <w:rsid w:val="20906282"/>
    <w:rsid w:val="20A259AA"/>
    <w:rsid w:val="20C226C4"/>
    <w:rsid w:val="20C45C8C"/>
    <w:rsid w:val="20D77EB9"/>
    <w:rsid w:val="20DF6C5A"/>
    <w:rsid w:val="20EB123E"/>
    <w:rsid w:val="20EC4867"/>
    <w:rsid w:val="20F25DE3"/>
    <w:rsid w:val="20F3593B"/>
    <w:rsid w:val="20F664A2"/>
    <w:rsid w:val="20F92790"/>
    <w:rsid w:val="20FB4AD2"/>
    <w:rsid w:val="21014C39"/>
    <w:rsid w:val="21045DF0"/>
    <w:rsid w:val="21051CC0"/>
    <w:rsid w:val="211834AC"/>
    <w:rsid w:val="212266D7"/>
    <w:rsid w:val="212356D0"/>
    <w:rsid w:val="212406AD"/>
    <w:rsid w:val="21244EB1"/>
    <w:rsid w:val="213964D8"/>
    <w:rsid w:val="21483234"/>
    <w:rsid w:val="21595D04"/>
    <w:rsid w:val="218B05DD"/>
    <w:rsid w:val="218B24B6"/>
    <w:rsid w:val="219B050D"/>
    <w:rsid w:val="21AB225E"/>
    <w:rsid w:val="21B32AFC"/>
    <w:rsid w:val="21B81A98"/>
    <w:rsid w:val="21C20626"/>
    <w:rsid w:val="21C622D2"/>
    <w:rsid w:val="21CB2551"/>
    <w:rsid w:val="21CF722F"/>
    <w:rsid w:val="21D6656F"/>
    <w:rsid w:val="21E21B23"/>
    <w:rsid w:val="21F13629"/>
    <w:rsid w:val="2208404B"/>
    <w:rsid w:val="220F640A"/>
    <w:rsid w:val="22170F60"/>
    <w:rsid w:val="222B6A9C"/>
    <w:rsid w:val="222D3AB8"/>
    <w:rsid w:val="223A2638"/>
    <w:rsid w:val="223C7BDD"/>
    <w:rsid w:val="22552F1A"/>
    <w:rsid w:val="22795475"/>
    <w:rsid w:val="227A1549"/>
    <w:rsid w:val="227E0004"/>
    <w:rsid w:val="229719BB"/>
    <w:rsid w:val="22A31B1C"/>
    <w:rsid w:val="22A86068"/>
    <w:rsid w:val="22A9180E"/>
    <w:rsid w:val="22BF4FB1"/>
    <w:rsid w:val="22C864DC"/>
    <w:rsid w:val="22D549A1"/>
    <w:rsid w:val="22DF722B"/>
    <w:rsid w:val="22FC6197"/>
    <w:rsid w:val="2305377E"/>
    <w:rsid w:val="2323066A"/>
    <w:rsid w:val="23271A45"/>
    <w:rsid w:val="2332699B"/>
    <w:rsid w:val="234C7A42"/>
    <w:rsid w:val="235D0BB6"/>
    <w:rsid w:val="23752A5C"/>
    <w:rsid w:val="237F4E13"/>
    <w:rsid w:val="23A32169"/>
    <w:rsid w:val="23A7106E"/>
    <w:rsid w:val="23BA5CAA"/>
    <w:rsid w:val="23C62395"/>
    <w:rsid w:val="23CE5E4B"/>
    <w:rsid w:val="23DB4F41"/>
    <w:rsid w:val="23EA7B8B"/>
    <w:rsid w:val="23EF00FE"/>
    <w:rsid w:val="23F06955"/>
    <w:rsid w:val="23F3704C"/>
    <w:rsid w:val="23F51D23"/>
    <w:rsid w:val="23F64D22"/>
    <w:rsid w:val="24025C53"/>
    <w:rsid w:val="24122135"/>
    <w:rsid w:val="242449EC"/>
    <w:rsid w:val="2425413A"/>
    <w:rsid w:val="242C7A4C"/>
    <w:rsid w:val="243476BE"/>
    <w:rsid w:val="24540D3D"/>
    <w:rsid w:val="24A9296F"/>
    <w:rsid w:val="24AF10AE"/>
    <w:rsid w:val="24B36018"/>
    <w:rsid w:val="24B904B5"/>
    <w:rsid w:val="24BA56EB"/>
    <w:rsid w:val="24D4257E"/>
    <w:rsid w:val="24D91A37"/>
    <w:rsid w:val="24DB6D1E"/>
    <w:rsid w:val="24E25A76"/>
    <w:rsid w:val="24E905CF"/>
    <w:rsid w:val="24EC64B0"/>
    <w:rsid w:val="24F138B7"/>
    <w:rsid w:val="24F522AF"/>
    <w:rsid w:val="25150DEA"/>
    <w:rsid w:val="253F3354"/>
    <w:rsid w:val="254F0F7E"/>
    <w:rsid w:val="255E256B"/>
    <w:rsid w:val="256F6F7E"/>
    <w:rsid w:val="2572202B"/>
    <w:rsid w:val="25756A55"/>
    <w:rsid w:val="25B04653"/>
    <w:rsid w:val="25BB4F4D"/>
    <w:rsid w:val="25C149BB"/>
    <w:rsid w:val="25C679DB"/>
    <w:rsid w:val="25DF6DC9"/>
    <w:rsid w:val="25EE4445"/>
    <w:rsid w:val="25EE4B76"/>
    <w:rsid w:val="2605683C"/>
    <w:rsid w:val="260971F7"/>
    <w:rsid w:val="26213C17"/>
    <w:rsid w:val="26233B26"/>
    <w:rsid w:val="2633160E"/>
    <w:rsid w:val="264147BE"/>
    <w:rsid w:val="265B3CA1"/>
    <w:rsid w:val="265F6DC4"/>
    <w:rsid w:val="2662516B"/>
    <w:rsid w:val="26674DA0"/>
    <w:rsid w:val="266D3EB0"/>
    <w:rsid w:val="267D2B84"/>
    <w:rsid w:val="267F14C1"/>
    <w:rsid w:val="269340B6"/>
    <w:rsid w:val="269A631F"/>
    <w:rsid w:val="269B1FB9"/>
    <w:rsid w:val="26B555E5"/>
    <w:rsid w:val="26BB1419"/>
    <w:rsid w:val="26C6024F"/>
    <w:rsid w:val="26CE6F15"/>
    <w:rsid w:val="26D228A9"/>
    <w:rsid w:val="26D32C81"/>
    <w:rsid w:val="26DD296C"/>
    <w:rsid w:val="26EF6916"/>
    <w:rsid w:val="26F21F06"/>
    <w:rsid w:val="26FE5D9D"/>
    <w:rsid w:val="2714520A"/>
    <w:rsid w:val="27231B60"/>
    <w:rsid w:val="274125DC"/>
    <w:rsid w:val="27424700"/>
    <w:rsid w:val="275C74AB"/>
    <w:rsid w:val="275D7434"/>
    <w:rsid w:val="27730A9F"/>
    <w:rsid w:val="27744D14"/>
    <w:rsid w:val="27756AEB"/>
    <w:rsid w:val="277E3A25"/>
    <w:rsid w:val="27894090"/>
    <w:rsid w:val="27AE10E2"/>
    <w:rsid w:val="27B748AA"/>
    <w:rsid w:val="27CB4CB9"/>
    <w:rsid w:val="27EC76AA"/>
    <w:rsid w:val="27FB70B2"/>
    <w:rsid w:val="28117E1E"/>
    <w:rsid w:val="281C2F58"/>
    <w:rsid w:val="282849E0"/>
    <w:rsid w:val="28377B85"/>
    <w:rsid w:val="283D1FEF"/>
    <w:rsid w:val="284E6E75"/>
    <w:rsid w:val="286763AE"/>
    <w:rsid w:val="286D4ABC"/>
    <w:rsid w:val="286E6BA4"/>
    <w:rsid w:val="28725817"/>
    <w:rsid w:val="287577EF"/>
    <w:rsid w:val="287902B0"/>
    <w:rsid w:val="2886587F"/>
    <w:rsid w:val="28B05368"/>
    <w:rsid w:val="28C81976"/>
    <w:rsid w:val="28FE4BB8"/>
    <w:rsid w:val="29106F5A"/>
    <w:rsid w:val="2926398A"/>
    <w:rsid w:val="2938186E"/>
    <w:rsid w:val="29472B8C"/>
    <w:rsid w:val="2947446A"/>
    <w:rsid w:val="294C1A40"/>
    <w:rsid w:val="29634C68"/>
    <w:rsid w:val="29642C4B"/>
    <w:rsid w:val="298434DB"/>
    <w:rsid w:val="29A34FE0"/>
    <w:rsid w:val="29D112C1"/>
    <w:rsid w:val="29D8238C"/>
    <w:rsid w:val="29E51F4A"/>
    <w:rsid w:val="29ED7DF5"/>
    <w:rsid w:val="29EF2406"/>
    <w:rsid w:val="2A27361B"/>
    <w:rsid w:val="2A34628C"/>
    <w:rsid w:val="2A46159A"/>
    <w:rsid w:val="2A497D40"/>
    <w:rsid w:val="2A4C3408"/>
    <w:rsid w:val="2A521949"/>
    <w:rsid w:val="2A724D05"/>
    <w:rsid w:val="2A7E505C"/>
    <w:rsid w:val="2A8A0393"/>
    <w:rsid w:val="2AC85686"/>
    <w:rsid w:val="2ACF4969"/>
    <w:rsid w:val="2AD04B5F"/>
    <w:rsid w:val="2AD53F89"/>
    <w:rsid w:val="2AF307A3"/>
    <w:rsid w:val="2AF84FAF"/>
    <w:rsid w:val="2B01752D"/>
    <w:rsid w:val="2B057D75"/>
    <w:rsid w:val="2B0A6393"/>
    <w:rsid w:val="2B1240C7"/>
    <w:rsid w:val="2B1642DE"/>
    <w:rsid w:val="2B1C274F"/>
    <w:rsid w:val="2B4171D4"/>
    <w:rsid w:val="2B4445EB"/>
    <w:rsid w:val="2B462A15"/>
    <w:rsid w:val="2B46463C"/>
    <w:rsid w:val="2B4B466A"/>
    <w:rsid w:val="2B511441"/>
    <w:rsid w:val="2B5B6DCA"/>
    <w:rsid w:val="2B682CF0"/>
    <w:rsid w:val="2B86546B"/>
    <w:rsid w:val="2B987A16"/>
    <w:rsid w:val="2B9B39B5"/>
    <w:rsid w:val="2BC05B2C"/>
    <w:rsid w:val="2BD617C5"/>
    <w:rsid w:val="2BD617CF"/>
    <w:rsid w:val="2BDE2000"/>
    <w:rsid w:val="2BEC75A5"/>
    <w:rsid w:val="2BED7120"/>
    <w:rsid w:val="2C001707"/>
    <w:rsid w:val="2C027731"/>
    <w:rsid w:val="2C0B5F2A"/>
    <w:rsid w:val="2C112837"/>
    <w:rsid w:val="2C1834EC"/>
    <w:rsid w:val="2C1E4E6C"/>
    <w:rsid w:val="2C283A63"/>
    <w:rsid w:val="2C287192"/>
    <w:rsid w:val="2C2C7BF2"/>
    <w:rsid w:val="2C2F0616"/>
    <w:rsid w:val="2C2F3C92"/>
    <w:rsid w:val="2C3303EC"/>
    <w:rsid w:val="2C4A3842"/>
    <w:rsid w:val="2C612054"/>
    <w:rsid w:val="2C614881"/>
    <w:rsid w:val="2C7A79E6"/>
    <w:rsid w:val="2C8757C4"/>
    <w:rsid w:val="2C9F34EC"/>
    <w:rsid w:val="2CD44256"/>
    <w:rsid w:val="2CE40D90"/>
    <w:rsid w:val="2CED4655"/>
    <w:rsid w:val="2CF376E9"/>
    <w:rsid w:val="2D1226BF"/>
    <w:rsid w:val="2D3F5A74"/>
    <w:rsid w:val="2D472008"/>
    <w:rsid w:val="2D51027B"/>
    <w:rsid w:val="2D5127EF"/>
    <w:rsid w:val="2D617E49"/>
    <w:rsid w:val="2D632596"/>
    <w:rsid w:val="2D77790F"/>
    <w:rsid w:val="2D911549"/>
    <w:rsid w:val="2DAB7C88"/>
    <w:rsid w:val="2DC4260E"/>
    <w:rsid w:val="2DEE06C1"/>
    <w:rsid w:val="2DFB58F0"/>
    <w:rsid w:val="2E014790"/>
    <w:rsid w:val="2E0265C0"/>
    <w:rsid w:val="2E1017A1"/>
    <w:rsid w:val="2E540AA2"/>
    <w:rsid w:val="2E8D151C"/>
    <w:rsid w:val="2E9A328C"/>
    <w:rsid w:val="2E9B6813"/>
    <w:rsid w:val="2E9C68B8"/>
    <w:rsid w:val="2E9C766C"/>
    <w:rsid w:val="2EA9176F"/>
    <w:rsid w:val="2EAE3922"/>
    <w:rsid w:val="2EB1033E"/>
    <w:rsid w:val="2EB32811"/>
    <w:rsid w:val="2EB727B2"/>
    <w:rsid w:val="2EE51747"/>
    <w:rsid w:val="2EE77680"/>
    <w:rsid w:val="2EEC1357"/>
    <w:rsid w:val="2F036086"/>
    <w:rsid w:val="2F050018"/>
    <w:rsid w:val="2F0D2540"/>
    <w:rsid w:val="2F212574"/>
    <w:rsid w:val="2F225627"/>
    <w:rsid w:val="2F256329"/>
    <w:rsid w:val="2F2C5823"/>
    <w:rsid w:val="2F2F0FC8"/>
    <w:rsid w:val="2F302BC5"/>
    <w:rsid w:val="2F327F56"/>
    <w:rsid w:val="2F335529"/>
    <w:rsid w:val="2F342155"/>
    <w:rsid w:val="2F442261"/>
    <w:rsid w:val="2F661E4B"/>
    <w:rsid w:val="2F6876F1"/>
    <w:rsid w:val="2F7E554B"/>
    <w:rsid w:val="2F8954AE"/>
    <w:rsid w:val="2F9516E9"/>
    <w:rsid w:val="2F9A6023"/>
    <w:rsid w:val="2F9F0267"/>
    <w:rsid w:val="2FB7446E"/>
    <w:rsid w:val="2FC1649F"/>
    <w:rsid w:val="2FFE4655"/>
    <w:rsid w:val="301C6BB6"/>
    <w:rsid w:val="30226963"/>
    <w:rsid w:val="3024507C"/>
    <w:rsid w:val="30491B7A"/>
    <w:rsid w:val="306E6F1C"/>
    <w:rsid w:val="30723652"/>
    <w:rsid w:val="308162C0"/>
    <w:rsid w:val="30855869"/>
    <w:rsid w:val="309645C5"/>
    <w:rsid w:val="309831C6"/>
    <w:rsid w:val="309C752C"/>
    <w:rsid w:val="30BC5A16"/>
    <w:rsid w:val="30BF26D3"/>
    <w:rsid w:val="30C64B71"/>
    <w:rsid w:val="30C84BF8"/>
    <w:rsid w:val="30CC08EC"/>
    <w:rsid w:val="30E45251"/>
    <w:rsid w:val="312143F7"/>
    <w:rsid w:val="31243B22"/>
    <w:rsid w:val="31326533"/>
    <w:rsid w:val="313553C8"/>
    <w:rsid w:val="31526AB3"/>
    <w:rsid w:val="31927D00"/>
    <w:rsid w:val="319708F2"/>
    <w:rsid w:val="31B14C9E"/>
    <w:rsid w:val="31C44C64"/>
    <w:rsid w:val="31D75BEC"/>
    <w:rsid w:val="31EF09FD"/>
    <w:rsid w:val="31F34E0D"/>
    <w:rsid w:val="31F52C38"/>
    <w:rsid w:val="320346CB"/>
    <w:rsid w:val="32282F84"/>
    <w:rsid w:val="3230175C"/>
    <w:rsid w:val="32474D62"/>
    <w:rsid w:val="32495BBC"/>
    <w:rsid w:val="324E54ED"/>
    <w:rsid w:val="325512F0"/>
    <w:rsid w:val="32661BCC"/>
    <w:rsid w:val="32713486"/>
    <w:rsid w:val="3278056E"/>
    <w:rsid w:val="327D3B5D"/>
    <w:rsid w:val="328F1E7B"/>
    <w:rsid w:val="32961319"/>
    <w:rsid w:val="32A156C2"/>
    <w:rsid w:val="32A4428B"/>
    <w:rsid w:val="32A520A3"/>
    <w:rsid w:val="32B048D6"/>
    <w:rsid w:val="32B46B3E"/>
    <w:rsid w:val="32BD3F05"/>
    <w:rsid w:val="32C64D76"/>
    <w:rsid w:val="32CA53FB"/>
    <w:rsid w:val="32D912FC"/>
    <w:rsid w:val="32F50E68"/>
    <w:rsid w:val="33462308"/>
    <w:rsid w:val="334B686C"/>
    <w:rsid w:val="335537D4"/>
    <w:rsid w:val="336D7F54"/>
    <w:rsid w:val="338A1642"/>
    <w:rsid w:val="33927CB8"/>
    <w:rsid w:val="339E7233"/>
    <w:rsid w:val="33A30E65"/>
    <w:rsid w:val="33A72252"/>
    <w:rsid w:val="33A73D69"/>
    <w:rsid w:val="33A9104C"/>
    <w:rsid w:val="33B17A99"/>
    <w:rsid w:val="33C11FCB"/>
    <w:rsid w:val="33C1523C"/>
    <w:rsid w:val="33C522D7"/>
    <w:rsid w:val="33CF702B"/>
    <w:rsid w:val="33D51A1B"/>
    <w:rsid w:val="33E14C89"/>
    <w:rsid w:val="33E41EC2"/>
    <w:rsid w:val="33F83DBF"/>
    <w:rsid w:val="34006501"/>
    <w:rsid w:val="340A372B"/>
    <w:rsid w:val="34111B22"/>
    <w:rsid w:val="341A4C22"/>
    <w:rsid w:val="341E4E58"/>
    <w:rsid w:val="34320003"/>
    <w:rsid w:val="343F1997"/>
    <w:rsid w:val="34404F77"/>
    <w:rsid w:val="34440AE0"/>
    <w:rsid w:val="344E7B7B"/>
    <w:rsid w:val="34806536"/>
    <w:rsid w:val="34807672"/>
    <w:rsid w:val="34934CB1"/>
    <w:rsid w:val="34C43C38"/>
    <w:rsid w:val="34CB2E3B"/>
    <w:rsid w:val="34CD1A98"/>
    <w:rsid w:val="34CF2BD8"/>
    <w:rsid w:val="34ED1C61"/>
    <w:rsid w:val="34F04638"/>
    <w:rsid w:val="35065CC0"/>
    <w:rsid w:val="351457B8"/>
    <w:rsid w:val="353E0BCA"/>
    <w:rsid w:val="35444C30"/>
    <w:rsid w:val="354B524C"/>
    <w:rsid w:val="354B77FD"/>
    <w:rsid w:val="354F34D3"/>
    <w:rsid w:val="356E1F2A"/>
    <w:rsid w:val="357D0A1B"/>
    <w:rsid w:val="3583298F"/>
    <w:rsid w:val="35861B5D"/>
    <w:rsid w:val="35966CA9"/>
    <w:rsid w:val="35A11444"/>
    <w:rsid w:val="35B06C6A"/>
    <w:rsid w:val="35B82CEB"/>
    <w:rsid w:val="35B86F3F"/>
    <w:rsid w:val="35C636D1"/>
    <w:rsid w:val="35CF7061"/>
    <w:rsid w:val="35D03CD9"/>
    <w:rsid w:val="35E02914"/>
    <w:rsid w:val="35EA186A"/>
    <w:rsid w:val="360452F0"/>
    <w:rsid w:val="362357C3"/>
    <w:rsid w:val="36245E3E"/>
    <w:rsid w:val="36247C00"/>
    <w:rsid w:val="363E5A53"/>
    <w:rsid w:val="36434213"/>
    <w:rsid w:val="3647714E"/>
    <w:rsid w:val="36496B81"/>
    <w:rsid w:val="3659491F"/>
    <w:rsid w:val="366E5A84"/>
    <w:rsid w:val="367C3050"/>
    <w:rsid w:val="367D0F01"/>
    <w:rsid w:val="36853397"/>
    <w:rsid w:val="369051B9"/>
    <w:rsid w:val="36941AA2"/>
    <w:rsid w:val="369F56E7"/>
    <w:rsid w:val="36A01157"/>
    <w:rsid w:val="36BC5F31"/>
    <w:rsid w:val="36CA1139"/>
    <w:rsid w:val="36D20E16"/>
    <w:rsid w:val="36D37423"/>
    <w:rsid w:val="36EA46F8"/>
    <w:rsid w:val="36F4356D"/>
    <w:rsid w:val="373E6A40"/>
    <w:rsid w:val="37462186"/>
    <w:rsid w:val="37543267"/>
    <w:rsid w:val="376F45D9"/>
    <w:rsid w:val="378B6E07"/>
    <w:rsid w:val="37937B3B"/>
    <w:rsid w:val="37947066"/>
    <w:rsid w:val="379D23F9"/>
    <w:rsid w:val="37A5602D"/>
    <w:rsid w:val="37A929D2"/>
    <w:rsid w:val="37AD7866"/>
    <w:rsid w:val="37AF0589"/>
    <w:rsid w:val="37B07864"/>
    <w:rsid w:val="37B573E0"/>
    <w:rsid w:val="37D034E8"/>
    <w:rsid w:val="37D17E7D"/>
    <w:rsid w:val="37DA1313"/>
    <w:rsid w:val="37DF1BA3"/>
    <w:rsid w:val="37E71D30"/>
    <w:rsid w:val="37E9152F"/>
    <w:rsid w:val="37F5325E"/>
    <w:rsid w:val="37FD1D01"/>
    <w:rsid w:val="38121F37"/>
    <w:rsid w:val="38344F41"/>
    <w:rsid w:val="384C105F"/>
    <w:rsid w:val="38592927"/>
    <w:rsid w:val="385D4BC4"/>
    <w:rsid w:val="3863092C"/>
    <w:rsid w:val="38643D43"/>
    <w:rsid w:val="38653BE2"/>
    <w:rsid w:val="388D6D2F"/>
    <w:rsid w:val="389918B8"/>
    <w:rsid w:val="38B22CB7"/>
    <w:rsid w:val="38C95664"/>
    <w:rsid w:val="38CB13C3"/>
    <w:rsid w:val="38F95C2E"/>
    <w:rsid w:val="38FD559B"/>
    <w:rsid w:val="39003390"/>
    <w:rsid w:val="390F72CD"/>
    <w:rsid w:val="392A3614"/>
    <w:rsid w:val="3941547E"/>
    <w:rsid w:val="394419EF"/>
    <w:rsid w:val="394F5891"/>
    <w:rsid w:val="395C4B6D"/>
    <w:rsid w:val="3971356C"/>
    <w:rsid w:val="39902C76"/>
    <w:rsid w:val="39955DDE"/>
    <w:rsid w:val="39966B70"/>
    <w:rsid w:val="39A57FEF"/>
    <w:rsid w:val="39AA7534"/>
    <w:rsid w:val="39BA3E4F"/>
    <w:rsid w:val="39D96898"/>
    <w:rsid w:val="39E03A5D"/>
    <w:rsid w:val="3A085509"/>
    <w:rsid w:val="3A0D63F8"/>
    <w:rsid w:val="3A185287"/>
    <w:rsid w:val="3A1F46B8"/>
    <w:rsid w:val="3A355F60"/>
    <w:rsid w:val="3A505ABB"/>
    <w:rsid w:val="3A5A697F"/>
    <w:rsid w:val="3A692CD0"/>
    <w:rsid w:val="3A775BB9"/>
    <w:rsid w:val="3A7F2111"/>
    <w:rsid w:val="3AA415BF"/>
    <w:rsid w:val="3AB12AB3"/>
    <w:rsid w:val="3ABE7489"/>
    <w:rsid w:val="3ABF781F"/>
    <w:rsid w:val="3AC70715"/>
    <w:rsid w:val="3AD66CD5"/>
    <w:rsid w:val="3B05225A"/>
    <w:rsid w:val="3B10470B"/>
    <w:rsid w:val="3B143055"/>
    <w:rsid w:val="3B1D47B5"/>
    <w:rsid w:val="3B270929"/>
    <w:rsid w:val="3B2D37B8"/>
    <w:rsid w:val="3B38029B"/>
    <w:rsid w:val="3B3D5571"/>
    <w:rsid w:val="3B502CF7"/>
    <w:rsid w:val="3B623CB6"/>
    <w:rsid w:val="3B627AF9"/>
    <w:rsid w:val="3B673620"/>
    <w:rsid w:val="3B7E1FCF"/>
    <w:rsid w:val="3B9A1F29"/>
    <w:rsid w:val="3B9A62E7"/>
    <w:rsid w:val="3BBC270A"/>
    <w:rsid w:val="3BCE611F"/>
    <w:rsid w:val="3BD06AAD"/>
    <w:rsid w:val="3BD673D4"/>
    <w:rsid w:val="3C0479D5"/>
    <w:rsid w:val="3C206721"/>
    <w:rsid w:val="3C271B26"/>
    <w:rsid w:val="3C2C4395"/>
    <w:rsid w:val="3C310A0D"/>
    <w:rsid w:val="3C4B34B9"/>
    <w:rsid w:val="3C4C6F6A"/>
    <w:rsid w:val="3C4D6566"/>
    <w:rsid w:val="3C4F5CD1"/>
    <w:rsid w:val="3C663F87"/>
    <w:rsid w:val="3C6C691A"/>
    <w:rsid w:val="3C810DD3"/>
    <w:rsid w:val="3C8D24E8"/>
    <w:rsid w:val="3CA5660E"/>
    <w:rsid w:val="3CB13658"/>
    <w:rsid w:val="3CB13D35"/>
    <w:rsid w:val="3CB770A2"/>
    <w:rsid w:val="3CBA7977"/>
    <w:rsid w:val="3CBB4A3D"/>
    <w:rsid w:val="3CC02F45"/>
    <w:rsid w:val="3CD00B52"/>
    <w:rsid w:val="3CE4646B"/>
    <w:rsid w:val="3CEA288E"/>
    <w:rsid w:val="3D0D312C"/>
    <w:rsid w:val="3D1833FE"/>
    <w:rsid w:val="3D190C53"/>
    <w:rsid w:val="3D220BB0"/>
    <w:rsid w:val="3D2251DD"/>
    <w:rsid w:val="3D235BF0"/>
    <w:rsid w:val="3D272081"/>
    <w:rsid w:val="3D316F98"/>
    <w:rsid w:val="3D3319A1"/>
    <w:rsid w:val="3D446913"/>
    <w:rsid w:val="3D4704D8"/>
    <w:rsid w:val="3D555928"/>
    <w:rsid w:val="3D5E2933"/>
    <w:rsid w:val="3D5E7AA8"/>
    <w:rsid w:val="3D662F1C"/>
    <w:rsid w:val="3D6F2596"/>
    <w:rsid w:val="3D796230"/>
    <w:rsid w:val="3D7A5022"/>
    <w:rsid w:val="3D7C4968"/>
    <w:rsid w:val="3D924D6B"/>
    <w:rsid w:val="3D975710"/>
    <w:rsid w:val="3D9B313F"/>
    <w:rsid w:val="3D9B41D0"/>
    <w:rsid w:val="3D9C1792"/>
    <w:rsid w:val="3DB3129A"/>
    <w:rsid w:val="3DB6486B"/>
    <w:rsid w:val="3DCF1B87"/>
    <w:rsid w:val="3DD5126D"/>
    <w:rsid w:val="3DF16F16"/>
    <w:rsid w:val="3DF74FA8"/>
    <w:rsid w:val="3DFA54B4"/>
    <w:rsid w:val="3E02418B"/>
    <w:rsid w:val="3E131113"/>
    <w:rsid w:val="3E1B5E63"/>
    <w:rsid w:val="3E2064A3"/>
    <w:rsid w:val="3E257593"/>
    <w:rsid w:val="3E397F57"/>
    <w:rsid w:val="3E5323C8"/>
    <w:rsid w:val="3E5C0E54"/>
    <w:rsid w:val="3E5D15DE"/>
    <w:rsid w:val="3E6831F2"/>
    <w:rsid w:val="3E685E5E"/>
    <w:rsid w:val="3E6A2D03"/>
    <w:rsid w:val="3E704C35"/>
    <w:rsid w:val="3E7316CB"/>
    <w:rsid w:val="3E771FD5"/>
    <w:rsid w:val="3E832F5F"/>
    <w:rsid w:val="3E83729F"/>
    <w:rsid w:val="3EA35B23"/>
    <w:rsid w:val="3EAF44FF"/>
    <w:rsid w:val="3EB06BA3"/>
    <w:rsid w:val="3ED5235A"/>
    <w:rsid w:val="3EDA5340"/>
    <w:rsid w:val="3EDB78F9"/>
    <w:rsid w:val="3F0C6E47"/>
    <w:rsid w:val="3F0D28A6"/>
    <w:rsid w:val="3F0E7052"/>
    <w:rsid w:val="3F18052A"/>
    <w:rsid w:val="3F284F00"/>
    <w:rsid w:val="3F292EC9"/>
    <w:rsid w:val="3F430A34"/>
    <w:rsid w:val="3F482A1F"/>
    <w:rsid w:val="3F5449DF"/>
    <w:rsid w:val="3F614632"/>
    <w:rsid w:val="3F6A6AC4"/>
    <w:rsid w:val="3F6B6300"/>
    <w:rsid w:val="3F7716E8"/>
    <w:rsid w:val="3F7F143C"/>
    <w:rsid w:val="3F8561CC"/>
    <w:rsid w:val="3F927DA1"/>
    <w:rsid w:val="3F9315BF"/>
    <w:rsid w:val="3FA73B7E"/>
    <w:rsid w:val="3FAB4A68"/>
    <w:rsid w:val="3FB86017"/>
    <w:rsid w:val="3FC955D0"/>
    <w:rsid w:val="3FD00262"/>
    <w:rsid w:val="3FD555BD"/>
    <w:rsid w:val="3FE93CC5"/>
    <w:rsid w:val="401B14D2"/>
    <w:rsid w:val="40334532"/>
    <w:rsid w:val="40403317"/>
    <w:rsid w:val="40446B32"/>
    <w:rsid w:val="404C2895"/>
    <w:rsid w:val="405B2402"/>
    <w:rsid w:val="405F175E"/>
    <w:rsid w:val="40635D8C"/>
    <w:rsid w:val="406870F5"/>
    <w:rsid w:val="406A69F7"/>
    <w:rsid w:val="4071065B"/>
    <w:rsid w:val="407E6EA8"/>
    <w:rsid w:val="40807EAE"/>
    <w:rsid w:val="408D50F6"/>
    <w:rsid w:val="408F4E71"/>
    <w:rsid w:val="40940A3E"/>
    <w:rsid w:val="409411F0"/>
    <w:rsid w:val="40A176E7"/>
    <w:rsid w:val="40C018E0"/>
    <w:rsid w:val="40C765F3"/>
    <w:rsid w:val="40CB19CC"/>
    <w:rsid w:val="40D57A9D"/>
    <w:rsid w:val="40EC510F"/>
    <w:rsid w:val="41003600"/>
    <w:rsid w:val="41017184"/>
    <w:rsid w:val="410D6716"/>
    <w:rsid w:val="41222C1A"/>
    <w:rsid w:val="412E3F32"/>
    <w:rsid w:val="413D07C9"/>
    <w:rsid w:val="413F68D3"/>
    <w:rsid w:val="414438B4"/>
    <w:rsid w:val="414C498A"/>
    <w:rsid w:val="41793F52"/>
    <w:rsid w:val="41821A2E"/>
    <w:rsid w:val="41901AAC"/>
    <w:rsid w:val="41907AEE"/>
    <w:rsid w:val="4193029E"/>
    <w:rsid w:val="41975536"/>
    <w:rsid w:val="419E6238"/>
    <w:rsid w:val="41C41CB7"/>
    <w:rsid w:val="41C4654D"/>
    <w:rsid w:val="41CB34B1"/>
    <w:rsid w:val="41D410B8"/>
    <w:rsid w:val="420914B6"/>
    <w:rsid w:val="420C00ED"/>
    <w:rsid w:val="42151553"/>
    <w:rsid w:val="421626ED"/>
    <w:rsid w:val="42170453"/>
    <w:rsid w:val="422B2C1C"/>
    <w:rsid w:val="422E5299"/>
    <w:rsid w:val="423C50E3"/>
    <w:rsid w:val="423D5CB1"/>
    <w:rsid w:val="423F75DD"/>
    <w:rsid w:val="42445B0F"/>
    <w:rsid w:val="42551D9D"/>
    <w:rsid w:val="426C7391"/>
    <w:rsid w:val="427464AC"/>
    <w:rsid w:val="427730A5"/>
    <w:rsid w:val="4291755D"/>
    <w:rsid w:val="42A1041E"/>
    <w:rsid w:val="42AF56CC"/>
    <w:rsid w:val="42C7371B"/>
    <w:rsid w:val="42D47E09"/>
    <w:rsid w:val="42D60159"/>
    <w:rsid w:val="42F869D2"/>
    <w:rsid w:val="431505AE"/>
    <w:rsid w:val="431C3DB9"/>
    <w:rsid w:val="431E2BF4"/>
    <w:rsid w:val="43214064"/>
    <w:rsid w:val="43296C81"/>
    <w:rsid w:val="432B6C9F"/>
    <w:rsid w:val="433A5F1E"/>
    <w:rsid w:val="434F7D59"/>
    <w:rsid w:val="43513575"/>
    <w:rsid w:val="43527999"/>
    <w:rsid w:val="43553536"/>
    <w:rsid w:val="435B554B"/>
    <w:rsid w:val="436B23DE"/>
    <w:rsid w:val="43790671"/>
    <w:rsid w:val="438725B9"/>
    <w:rsid w:val="43DB1CDA"/>
    <w:rsid w:val="43E529F0"/>
    <w:rsid w:val="43F06CA6"/>
    <w:rsid w:val="440A782C"/>
    <w:rsid w:val="440D58DC"/>
    <w:rsid w:val="441E3344"/>
    <w:rsid w:val="44254AEB"/>
    <w:rsid w:val="442739BA"/>
    <w:rsid w:val="443029F6"/>
    <w:rsid w:val="443C20C1"/>
    <w:rsid w:val="44455943"/>
    <w:rsid w:val="444C5F5A"/>
    <w:rsid w:val="44616642"/>
    <w:rsid w:val="44646AE5"/>
    <w:rsid w:val="44776310"/>
    <w:rsid w:val="448F338E"/>
    <w:rsid w:val="448F5150"/>
    <w:rsid w:val="44955526"/>
    <w:rsid w:val="44972678"/>
    <w:rsid w:val="449E40F6"/>
    <w:rsid w:val="44B5545B"/>
    <w:rsid w:val="44C40B54"/>
    <w:rsid w:val="44E072DF"/>
    <w:rsid w:val="44E2703F"/>
    <w:rsid w:val="44F87075"/>
    <w:rsid w:val="44F95DC1"/>
    <w:rsid w:val="450B7240"/>
    <w:rsid w:val="451632B9"/>
    <w:rsid w:val="451976F0"/>
    <w:rsid w:val="451E29E2"/>
    <w:rsid w:val="4539627C"/>
    <w:rsid w:val="45407B4A"/>
    <w:rsid w:val="45440222"/>
    <w:rsid w:val="456E52FD"/>
    <w:rsid w:val="45850EA8"/>
    <w:rsid w:val="458C6EC9"/>
    <w:rsid w:val="45906394"/>
    <w:rsid w:val="45980FBB"/>
    <w:rsid w:val="459C3256"/>
    <w:rsid w:val="45B03B1C"/>
    <w:rsid w:val="45B82094"/>
    <w:rsid w:val="45C340DD"/>
    <w:rsid w:val="45DB7DA8"/>
    <w:rsid w:val="45DC0D3E"/>
    <w:rsid w:val="45DE76AC"/>
    <w:rsid w:val="45F06093"/>
    <w:rsid w:val="45F60A50"/>
    <w:rsid w:val="46142D0C"/>
    <w:rsid w:val="465579F3"/>
    <w:rsid w:val="46587F63"/>
    <w:rsid w:val="467F3790"/>
    <w:rsid w:val="46970A81"/>
    <w:rsid w:val="46985757"/>
    <w:rsid w:val="46A37C55"/>
    <w:rsid w:val="46B036BF"/>
    <w:rsid w:val="46C0440B"/>
    <w:rsid w:val="46C77EF1"/>
    <w:rsid w:val="46CD57C5"/>
    <w:rsid w:val="46D21FAF"/>
    <w:rsid w:val="46DA4423"/>
    <w:rsid w:val="46E334CC"/>
    <w:rsid w:val="46E72700"/>
    <w:rsid w:val="46EB6D44"/>
    <w:rsid w:val="46FF481C"/>
    <w:rsid w:val="47041647"/>
    <w:rsid w:val="47282363"/>
    <w:rsid w:val="476E1CC6"/>
    <w:rsid w:val="47800217"/>
    <w:rsid w:val="47875B0B"/>
    <w:rsid w:val="479B4680"/>
    <w:rsid w:val="47A808C6"/>
    <w:rsid w:val="47CC4679"/>
    <w:rsid w:val="47F70B75"/>
    <w:rsid w:val="4811672E"/>
    <w:rsid w:val="482A7AF8"/>
    <w:rsid w:val="483F6AC2"/>
    <w:rsid w:val="484511A7"/>
    <w:rsid w:val="48454EEC"/>
    <w:rsid w:val="48461049"/>
    <w:rsid w:val="48647FB6"/>
    <w:rsid w:val="486A1FFE"/>
    <w:rsid w:val="487138F0"/>
    <w:rsid w:val="487A082A"/>
    <w:rsid w:val="48977084"/>
    <w:rsid w:val="48AE6A43"/>
    <w:rsid w:val="48B37EE7"/>
    <w:rsid w:val="48C310DA"/>
    <w:rsid w:val="48ED008C"/>
    <w:rsid w:val="48EF68E0"/>
    <w:rsid w:val="491A7B75"/>
    <w:rsid w:val="493776D8"/>
    <w:rsid w:val="493801BB"/>
    <w:rsid w:val="493F7B37"/>
    <w:rsid w:val="494C55B7"/>
    <w:rsid w:val="495B1ECB"/>
    <w:rsid w:val="49603D2B"/>
    <w:rsid w:val="49634756"/>
    <w:rsid w:val="497647B5"/>
    <w:rsid w:val="49792918"/>
    <w:rsid w:val="49B358F8"/>
    <w:rsid w:val="49BC5E3B"/>
    <w:rsid w:val="49BD712F"/>
    <w:rsid w:val="49D2408F"/>
    <w:rsid w:val="49DC4EAC"/>
    <w:rsid w:val="49E55BC5"/>
    <w:rsid w:val="49E9188B"/>
    <w:rsid w:val="4A056571"/>
    <w:rsid w:val="4A06032D"/>
    <w:rsid w:val="4A0B63A9"/>
    <w:rsid w:val="4A241D92"/>
    <w:rsid w:val="4A282C0D"/>
    <w:rsid w:val="4A4379A0"/>
    <w:rsid w:val="4A487C87"/>
    <w:rsid w:val="4A644756"/>
    <w:rsid w:val="4A7571D3"/>
    <w:rsid w:val="4A7B4D25"/>
    <w:rsid w:val="4A885695"/>
    <w:rsid w:val="4AA3489B"/>
    <w:rsid w:val="4AB709AB"/>
    <w:rsid w:val="4AD23E9E"/>
    <w:rsid w:val="4AD42F2D"/>
    <w:rsid w:val="4AE83B17"/>
    <w:rsid w:val="4B270924"/>
    <w:rsid w:val="4B3B1FE0"/>
    <w:rsid w:val="4B402DF3"/>
    <w:rsid w:val="4B405893"/>
    <w:rsid w:val="4B47370D"/>
    <w:rsid w:val="4B4A2A04"/>
    <w:rsid w:val="4B4E3BF2"/>
    <w:rsid w:val="4B612AEC"/>
    <w:rsid w:val="4B6240A9"/>
    <w:rsid w:val="4B6A7CD4"/>
    <w:rsid w:val="4B7A5291"/>
    <w:rsid w:val="4B7C0286"/>
    <w:rsid w:val="4B7E3FB2"/>
    <w:rsid w:val="4B85409E"/>
    <w:rsid w:val="4B8D6CB9"/>
    <w:rsid w:val="4B8F2DDD"/>
    <w:rsid w:val="4B91709C"/>
    <w:rsid w:val="4BB414B0"/>
    <w:rsid w:val="4BBD11D0"/>
    <w:rsid w:val="4BC02E56"/>
    <w:rsid w:val="4BD85564"/>
    <w:rsid w:val="4BE2120B"/>
    <w:rsid w:val="4BEC690D"/>
    <w:rsid w:val="4BEE5A69"/>
    <w:rsid w:val="4C176A14"/>
    <w:rsid w:val="4C1C63D6"/>
    <w:rsid w:val="4C325FA4"/>
    <w:rsid w:val="4C4153A3"/>
    <w:rsid w:val="4C500D31"/>
    <w:rsid w:val="4C5A2771"/>
    <w:rsid w:val="4C7F6F5D"/>
    <w:rsid w:val="4C864A35"/>
    <w:rsid w:val="4C8B7E80"/>
    <w:rsid w:val="4C8E4353"/>
    <w:rsid w:val="4C910676"/>
    <w:rsid w:val="4C985EF0"/>
    <w:rsid w:val="4C9E36A5"/>
    <w:rsid w:val="4CAB2556"/>
    <w:rsid w:val="4CBF4B6F"/>
    <w:rsid w:val="4CCE38DC"/>
    <w:rsid w:val="4CE04381"/>
    <w:rsid w:val="4CE91422"/>
    <w:rsid w:val="4CFD051B"/>
    <w:rsid w:val="4D175F8A"/>
    <w:rsid w:val="4D317D64"/>
    <w:rsid w:val="4D3229FD"/>
    <w:rsid w:val="4D39669C"/>
    <w:rsid w:val="4D396894"/>
    <w:rsid w:val="4D434EB5"/>
    <w:rsid w:val="4D4538EF"/>
    <w:rsid w:val="4D6D2260"/>
    <w:rsid w:val="4D713E66"/>
    <w:rsid w:val="4D7F78DB"/>
    <w:rsid w:val="4D8676F5"/>
    <w:rsid w:val="4D924A76"/>
    <w:rsid w:val="4D955C59"/>
    <w:rsid w:val="4DA74BC0"/>
    <w:rsid w:val="4DB824B4"/>
    <w:rsid w:val="4DBB15FF"/>
    <w:rsid w:val="4DBB403F"/>
    <w:rsid w:val="4DC33AEA"/>
    <w:rsid w:val="4DD23F54"/>
    <w:rsid w:val="4DD47439"/>
    <w:rsid w:val="4DD926D1"/>
    <w:rsid w:val="4DDA7A28"/>
    <w:rsid w:val="4DF036EE"/>
    <w:rsid w:val="4E015C76"/>
    <w:rsid w:val="4E0F6ADF"/>
    <w:rsid w:val="4E292C46"/>
    <w:rsid w:val="4E310026"/>
    <w:rsid w:val="4E4A2325"/>
    <w:rsid w:val="4E507692"/>
    <w:rsid w:val="4E591DB2"/>
    <w:rsid w:val="4E6367BA"/>
    <w:rsid w:val="4E726790"/>
    <w:rsid w:val="4E7809D0"/>
    <w:rsid w:val="4E886D5F"/>
    <w:rsid w:val="4EAA4684"/>
    <w:rsid w:val="4EAC4E6D"/>
    <w:rsid w:val="4EB13CCE"/>
    <w:rsid w:val="4EB93137"/>
    <w:rsid w:val="4EC51EDB"/>
    <w:rsid w:val="4EC97CA3"/>
    <w:rsid w:val="4ECF7385"/>
    <w:rsid w:val="4EDD3046"/>
    <w:rsid w:val="4EE33FE5"/>
    <w:rsid w:val="4EF13342"/>
    <w:rsid w:val="4F180584"/>
    <w:rsid w:val="4F182411"/>
    <w:rsid w:val="4F231B66"/>
    <w:rsid w:val="4F30413A"/>
    <w:rsid w:val="4F311119"/>
    <w:rsid w:val="4F36618E"/>
    <w:rsid w:val="4F3E1627"/>
    <w:rsid w:val="4F4F478B"/>
    <w:rsid w:val="4F523968"/>
    <w:rsid w:val="4F607362"/>
    <w:rsid w:val="4F6647C5"/>
    <w:rsid w:val="4F6B6B31"/>
    <w:rsid w:val="4F7E7FBA"/>
    <w:rsid w:val="4F833434"/>
    <w:rsid w:val="4F920952"/>
    <w:rsid w:val="4F984682"/>
    <w:rsid w:val="4FAC7B73"/>
    <w:rsid w:val="4FBD0D21"/>
    <w:rsid w:val="4FC61B2C"/>
    <w:rsid w:val="4FCC736D"/>
    <w:rsid w:val="4FCD0D34"/>
    <w:rsid w:val="4FDF7F83"/>
    <w:rsid w:val="4FED506B"/>
    <w:rsid w:val="50163074"/>
    <w:rsid w:val="50191D6D"/>
    <w:rsid w:val="501A6C55"/>
    <w:rsid w:val="50204DFF"/>
    <w:rsid w:val="503E1728"/>
    <w:rsid w:val="50450924"/>
    <w:rsid w:val="506723EC"/>
    <w:rsid w:val="50805B58"/>
    <w:rsid w:val="508E3344"/>
    <w:rsid w:val="509F33D4"/>
    <w:rsid w:val="50A20CC5"/>
    <w:rsid w:val="50A90064"/>
    <w:rsid w:val="50C535A8"/>
    <w:rsid w:val="50DC1AA8"/>
    <w:rsid w:val="50E448B9"/>
    <w:rsid w:val="50E707E6"/>
    <w:rsid w:val="50F86567"/>
    <w:rsid w:val="510E7404"/>
    <w:rsid w:val="51126AD5"/>
    <w:rsid w:val="5124051D"/>
    <w:rsid w:val="51244340"/>
    <w:rsid w:val="51301CE1"/>
    <w:rsid w:val="514C633F"/>
    <w:rsid w:val="515155E8"/>
    <w:rsid w:val="51563561"/>
    <w:rsid w:val="51A53976"/>
    <w:rsid w:val="51A943CF"/>
    <w:rsid w:val="51AC6EBA"/>
    <w:rsid w:val="51B136E2"/>
    <w:rsid w:val="51B14BED"/>
    <w:rsid w:val="51FD3763"/>
    <w:rsid w:val="52023458"/>
    <w:rsid w:val="520C2013"/>
    <w:rsid w:val="52101974"/>
    <w:rsid w:val="52133783"/>
    <w:rsid w:val="521B1F74"/>
    <w:rsid w:val="521B66BE"/>
    <w:rsid w:val="521E5BC5"/>
    <w:rsid w:val="52526454"/>
    <w:rsid w:val="525C1CEF"/>
    <w:rsid w:val="52632F70"/>
    <w:rsid w:val="528B5767"/>
    <w:rsid w:val="529435B7"/>
    <w:rsid w:val="529C69A9"/>
    <w:rsid w:val="52A05116"/>
    <w:rsid w:val="52A77D4F"/>
    <w:rsid w:val="52B72342"/>
    <w:rsid w:val="52BB600B"/>
    <w:rsid w:val="52C529D4"/>
    <w:rsid w:val="52D33625"/>
    <w:rsid w:val="52DB3CFD"/>
    <w:rsid w:val="52EB05D3"/>
    <w:rsid w:val="52EE4A1B"/>
    <w:rsid w:val="53254D67"/>
    <w:rsid w:val="53311E35"/>
    <w:rsid w:val="53371F0F"/>
    <w:rsid w:val="533D6D49"/>
    <w:rsid w:val="534B6FE6"/>
    <w:rsid w:val="536011DE"/>
    <w:rsid w:val="5397225D"/>
    <w:rsid w:val="53994EB3"/>
    <w:rsid w:val="539B4BAF"/>
    <w:rsid w:val="53A3105E"/>
    <w:rsid w:val="53BF3ABB"/>
    <w:rsid w:val="53C64B93"/>
    <w:rsid w:val="53D02869"/>
    <w:rsid w:val="53D63625"/>
    <w:rsid w:val="53E25920"/>
    <w:rsid w:val="53F50A9E"/>
    <w:rsid w:val="53FE72B3"/>
    <w:rsid w:val="54023DDF"/>
    <w:rsid w:val="540431FD"/>
    <w:rsid w:val="541E2DD9"/>
    <w:rsid w:val="54251CA9"/>
    <w:rsid w:val="543B4C01"/>
    <w:rsid w:val="54446DCC"/>
    <w:rsid w:val="54592BF4"/>
    <w:rsid w:val="54663200"/>
    <w:rsid w:val="54832E4E"/>
    <w:rsid w:val="548A6C60"/>
    <w:rsid w:val="54A1578C"/>
    <w:rsid w:val="54A61260"/>
    <w:rsid w:val="54A83D07"/>
    <w:rsid w:val="54AC7D0C"/>
    <w:rsid w:val="54BA27E5"/>
    <w:rsid w:val="54F501CE"/>
    <w:rsid w:val="54F64B1D"/>
    <w:rsid w:val="552C7D51"/>
    <w:rsid w:val="55352D36"/>
    <w:rsid w:val="55367BF4"/>
    <w:rsid w:val="55486565"/>
    <w:rsid w:val="555D33E0"/>
    <w:rsid w:val="555E3423"/>
    <w:rsid w:val="5560645C"/>
    <w:rsid w:val="5577638E"/>
    <w:rsid w:val="55793155"/>
    <w:rsid w:val="5594082D"/>
    <w:rsid w:val="55A407A5"/>
    <w:rsid w:val="55B1164D"/>
    <w:rsid w:val="55B4735E"/>
    <w:rsid w:val="55BB221D"/>
    <w:rsid w:val="55CD1687"/>
    <w:rsid w:val="55EB16E2"/>
    <w:rsid w:val="5612283D"/>
    <w:rsid w:val="56371459"/>
    <w:rsid w:val="563C6522"/>
    <w:rsid w:val="563E23DC"/>
    <w:rsid w:val="56484633"/>
    <w:rsid w:val="564D3EBA"/>
    <w:rsid w:val="56602203"/>
    <w:rsid w:val="56690B07"/>
    <w:rsid w:val="566F5E35"/>
    <w:rsid w:val="567A03ED"/>
    <w:rsid w:val="568642C5"/>
    <w:rsid w:val="568A49DA"/>
    <w:rsid w:val="569045D5"/>
    <w:rsid w:val="56944E69"/>
    <w:rsid w:val="5698473A"/>
    <w:rsid w:val="569D1E0F"/>
    <w:rsid w:val="56AC419F"/>
    <w:rsid w:val="56BA049B"/>
    <w:rsid w:val="56CD76DC"/>
    <w:rsid w:val="56D93F7F"/>
    <w:rsid w:val="56EA1866"/>
    <w:rsid w:val="56FB706B"/>
    <w:rsid w:val="5713182F"/>
    <w:rsid w:val="5728407C"/>
    <w:rsid w:val="57295D0E"/>
    <w:rsid w:val="572C324C"/>
    <w:rsid w:val="5731445C"/>
    <w:rsid w:val="57316C99"/>
    <w:rsid w:val="57404D9A"/>
    <w:rsid w:val="574E0DE4"/>
    <w:rsid w:val="575701B5"/>
    <w:rsid w:val="575728F6"/>
    <w:rsid w:val="57596AAC"/>
    <w:rsid w:val="57724591"/>
    <w:rsid w:val="577D38CF"/>
    <w:rsid w:val="57852538"/>
    <w:rsid w:val="57863AB5"/>
    <w:rsid w:val="57953C42"/>
    <w:rsid w:val="57B011A7"/>
    <w:rsid w:val="57B51470"/>
    <w:rsid w:val="57CF3679"/>
    <w:rsid w:val="57D6391D"/>
    <w:rsid w:val="57FF4732"/>
    <w:rsid w:val="58076FF3"/>
    <w:rsid w:val="5809151C"/>
    <w:rsid w:val="580B5946"/>
    <w:rsid w:val="580E61DA"/>
    <w:rsid w:val="581F6565"/>
    <w:rsid w:val="5829015F"/>
    <w:rsid w:val="582F1895"/>
    <w:rsid w:val="58302CCE"/>
    <w:rsid w:val="58474CE2"/>
    <w:rsid w:val="584B6A8E"/>
    <w:rsid w:val="58532FAC"/>
    <w:rsid w:val="585A78D7"/>
    <w:rsid w:val="585C6786"/>
    <w:rsid w:val="58793674"/>
    <w:rsid w:val="58804FBD"/>
    <w:rsid w:val="589408A7"/>
    <w:rsid w:val="58C270CB"/>
    <w:rsid w:val="58C62D76"/>
    <w:rsid w:val="58CF29FE"/>
    <w:rsid w:val="58D0053D"/>
    <w:rsid w:val="58E53798"/>
    <w:rsid w:val="58EB0542"/>
    <w:rsid w:val="59021A1C"/>
    <w:rsid w:val="590525A9"/>
    <w:rsid w:val="59296D9D"/>
    <w:rsid w:val="594B3F35"/>
    <w:rsid w:val="595E268E"/>
    <w:rsid w:val="596E3BBB"/>
    <w:rsid w:val="597B223C"/>
    <w:rsid w:val="5984486C"/>
    <w:rsid w:val="598B13F5"/>
    <w:rsid w:val="598C40A0"/>
    <w:rsid w:val="59BD1846"/>
    <w:rsid w:val="59CA4869"/>
    <w:rsid w:val="59DA647E"/>
    <w:rsid w:val="59DB2C9B"/>
    <w:rsid w:val="59DF69B6"/>
    <w:rsid w:val="59E50854"/>
    <w:rsid w:val="59E55513"/>
    <w:rsid w:val="59E72733"/>
    <w:rsid w:val="59F36630"/>
    <w:rsid w:val="59FF2B51"/>
    <w:rsid w:val="5A0F540D"/>
    <w:rsid w:val="5A556E1A"/>
    <w:rsid w:val="5A651E0C"/>
    <w:rsid w:val="5A664C68"/>
    <w:rsid w:val="5A682205"/>
    <w:rsid w:val="5A7526FC"/>
    <w:rsid w:val="5A81369E"/>
    <w:rsid w:val="5A845B5E"/>
    <w:rsid w:val="5AAE408E"/>
    <w:rsid w:val="5AAF369C"/>
    <w:rsid w:val="5AB0241F"/>
    <w:rsid w:val="5AB843B5"/>
    <w:rsid w:val="5AC864F8"/>
    <w:rsid w:val="5ACD0EA9"/>
    <w:rsid w:val="5AD02DFD"/>
    <w:rsid w:val="5AE36B88"/>
    <w:rsid w:val="5AF17C5E"/>
    <w:rsid w:val="5AFA3D08"/>
    <w:rsid w:val="5B3054AA"/>
    <w:rsid w:val="5B336D3B"/>
    <w:rsid w:val="5B3507ED"/>
    <w:rsid w:val="5B362FCA"/>
    <w:rsid w:val="5B3A3ADF"/>
    <w:rsid w:val="5B410361"/>
    <w:rsid w:val="5B482447"/>
    <w:rsid w:val="5B544553"/>
    <w:rsid w:val="5B5753F8"/>
    <w:rsid w:val="5B6620AC"/>
    <w:rsid w:val="5B801C76"/>
    <w:rsid w:val="5B86794A"/>
    <w:rsid w:val="5B8D15CD"/>
    <w:rsid w:val="5BD11B73"/>
    <w:rsid w:val="5BEB17D8"/>
    <w:rsid w:val="5C0500E3"/>
    <w:rsid w:val="5C100F9D"/>
    <w:rsid w:val="5C1166E3"/>
    <w:rsid w:val="5C155F59"/>
    <w:rsid w:val="5C354FC9"/>
    <w:rsid w:val="5C3D7A15"/>
    <w:rsid w:val="5C4C3758"/>
    <w:rsid w:val="5C656BA5"/>
    <w:rsid w:val="5C8B2F32"/>
    <w:rsid w:val="5C8B55A0"/>
    <w:rsid w:val="5C8D7278"/>
    <w:rsid w:val="5C9A1CDC"/>
    <w:rsid w:val="5CC75878"/>
    <w:rsid w:val="5CDD02C3"/>
    <w:rsid w:val="5CDF0826"/>
    <w:rsid w:val="5CEA2BC1"/>
    <w:rsid w:val="5CF74B37"/>
    <w:rsid w:val="5CF83B05"/>
    <w:rsid w:val="5D035192"/>
    <w:rsid w:val="5D193B8A"/>
    <w:rsid w:val="5D1F4ECE"/>
    <w:rsid w:val="5D2F4A70"/>
    <w:rsid w:val="5D446018"/>
    <w:rsid w:val="5D48394B"/>
    <w:rsid w:val="5D4A312B"/>
    <w:rsid w:val="5D4B7080"/>
    <w:rsid w:val="5D4E2885"/>
    <w:rsid w:val="5D5C5F9F"/>
    <w:rsid w:val="5D631442"/>
    <w:rsid w:val="5D663F28"/>
    <w:rsid w:val="5D66487A"/>
    <w:rsid w:val="5D787776"/>
    <w:rsid w:val="5D971C4C"/>
    <w:rsid w:val="5DAB143A"/>
    <w:rsid w:val="5DD357A5"/>
    <w:rsid w:val="5DD757C3"/>
    <w:rsid w:val="5DE35ADB"/>
    <w:rsid w:val="5DFB357C"/>
    <w:rsid w:val="5DFB41C2"/>
    <w:rsid w:val="5E083EB7"/>
    <w:rsid w:val="5E1C2987"/>
    <w:rsid w:val="5E2864D0"/>
    <w:rsid w:val="5E351333"/>
    <w:rsid w:val="5E3C6576"/>
    <w:rsid w:val="5E494511"/>
    <w:rsid w:val="5E4F20DA"/>
    <w:rsid w:val="5E5317F3"/>
    <w:rsid w:val="5E8079CF"/>
    <w:rsid w:val="5E8419B3"/>
    <w:rsid w:val="5EB44FC0"/>
    <w:rsid w:val="5EB76A57"/>
    <w:rsid w:val="5ED54EDB"/>
    <w:rsid w:val="5ED944FD"/>
    <w:rsid w:val="5EE53805"/>
    <w:rsid w:val="5EF46636"/>
    <w:rsid w:val="5EFF05D3"/>
    <w:rsid w:val="5F205220"/>
    <w:rsid w:val="5F2572D8"/>
    <w:rsid w:val="5F327AE6"/>
    <w:rsid w:val="5F49493D"/>
    <w:rsid w:val="5F4F7393"/>
    <w:rsid w:val="5F5A2F55"/>
    <w:rsid w:val="5F800F15"/>
    <w:rsid w:val="5F816A93"/>
    <w:rsid w:val="5F826051"/>
    <w:rsid w:val="5F885147"/>
    <w:rsid w:val="5F8D3496"/>
    <w:rsid w:val="5F8F79DC"/>
    <w:rsid w:val="5F9F2289"/>
    <w:rsid w:val="5FA00F6C"/>
    <w:rsid w:val="5FA12D39"/>
    <w:rsid w:val="5FBA395F"/>
    <w:rsid w:val="5FBA5966"/>
    <w:rsid w:val="5FBD4362"/>
    <w:rsid w:val="5FD97DB6"/>
    <w:rsid w:val="5FDC5DB4"/>
    <w:rsid w:val="5FF60AC8"/>
    <w:rsid w:val="5FFE006B"/>
    <w:rsid w:val="601A26C3"/>
    <w:rsid w:val="601F0157"/>
    <w:rsid w:val="60264CE8"/>
    <w:rsid w:val="60340230"/>
    <w:rsid w:val="6040432D"/>
    <w:rsid w:val="60425E29"/>
    <w:rsid w:val="60626C20"/>
    <w:rsid w:val="60706A78"/>
    <w:rsid w:val="60762F3F"/>
    <w:rsid w:val="608F7640"/>
    <w:rsid w:val="60946DAF"/>
    <w:rsid w:val="60C06FD6"/>
    <w:rsid w:val="60C321DA"/>
    <w:rsid w:val="60D552DB"/>
    <w:rsid w:val="60D73548"/>
    <w:rsid w:val="60D833DA"/>
    <w:rsid w:val="60E645AB"/>
    <w:rsid w:val="60EA6E44"/>
    <w:rsid w:val="60EC2CBA"/>
    <w:rsid w:val="60F535F1"/>
    <w:rsid w:val="60FE4EA7"/>
    <w:rsid w:val="610A00CC"/>
    <w:rsid w:val="6127057C"/>
    <w:rsid w:val="612833FF"/>
    <w:rsid w:val="61424FBE"/>
    <w:rsid w:val="61765199"/>
    <w:rsid w:val="617D559D"/>
    <w:rsid w:val="617E27AF"/>
    <w:rsid w:val="61844B11"/>
    <w:rsid w:val="619141E0"/>
    <w:rsid w:val="619817AB"/>
    <w:rsid w:val="61A70218"/>
    <w:rsid w:val="61B2407C"/>
    <w:rsid w:val="61B246B8"/>
    <w:rsid w:val="61B31E2C"/>
    <w:rsid w:val="61B651F3"/>
    <w:rsid w:val="61B714EC"/>
    <w:rsid w:val="61C610D0"/>
    <w:rsid w:val="61CC2D28"/>
    <w:rsid w:val="61F06200"/>
    <w:rsid w:val="61F17317"/>
    <w:rsid w:val="62041EA2"/>
    <w:rsid w:val="62100FF7"/>
    <w:rsid w:val="621B542C"/>
    <w:rsid w:val="62264119"/>
    <w:rsid w:val="6231045B"/>
    <w:rsid w:val="62371F2F"/>
    <w:rsid w:val="623B0245"/>
    <w:rsid w:val="623E2F26"/>
    <w:rsid w:val="62472072"/>
    <w:rsid w:val="624C20A2"/>
    <w:rsid w:val="62515753"/>
    <w:rsid w:val="626019CF"/>
    <w:rsid w:val="626A494B"/>
    <w:rsid w:val="626B6B25"/>
    <w:rsid w:val="62780EB4"/>
    <w:rsid w:val="62967AF5"/>
    <w:rsid w:val="62A201A4"/>
    <w:rsid w:val="62A773CB"/>
    <w:rsid w:val="62AE2ECD"/>
    <w:rsid w:val="62B6110B"/>
    <w:rsid w:val="62CF4A53"/>
    <w:rsid w:val="62D01811"/>
    <w:rsid w:val="62E4391D"/>
    <w:rsid w:val="62F23049"/>
    <w:rsid w:val="63026ED7"/>
    <w:rsid w:val="630C63B9"/>
    <w:rsid w:val="634C244A"/>
    <w:rsid w:val="63581625"/>
    <w:rsid w:val="635902CD"/>
    <w:rsid w:val="6359154E"/>
    <w:rsid w:val="63660C1E"/>
    <w:rsid w:val="636810D4"/>
    <w:rsid w:val="63AB150B"/>
    <w:rsid w:val="63C11EF5"/>
    <w:rsid w:val="63C40D91"/>
    <w:rsid w:val="63C55572"/>
    <w:rsid w:val="63C90630"/>
    <w:rsid w:val="63CC1082"/>
    <w:rsid w:val="63D94F4D"/>
    <w:rsid w:val="63E271B2"/>
    <w:rsid w:val="63F54718"/>
    <w:rsid w:val="63F77EDC"/>
    <w:rsid w:val="63FA567E"/>
    <w:rsid w:val="640A4B8F"/>
    <w:rsid w:val="640C4D77"/>
    <w:rsid w:val="640F772C"/>
    <w:rsid w:val="642E5B37"/>
    <w:rsid w:val="64480456"/>
    <w:rsid w:val="644C3818"/>
    <w:rsid w:val="64706BBE"/>
    <w:rsid w:val="64933AA4"/>
    <w:rsid w:val="6499665B"/>
    <w:rsid w:val="64C144B8"/>
    <w:rsid w:val="64C466DC"/>
    <w:rsid w:val="64DB766F"/>
    <w:rsid w:val="64DD6515"/>
    <w:rsid w:val="64E65D23"/>
    <w:rsid w:val="64EE692F"/>
    <w:rsid w:val="64F20786"/>
    <w:rsid w:val="64F2095B"/>
    <w:rsid w:val="64FA06D8"/>
    <w:rsid w:val="6500497D"/>
    <w:rsid w:val="65071118"/>
    <w:rsid w:val="650C70AE"/>
    <w:rsid w:val="65266D7F"/>
    <w:rsid w:val="652909A9"/>
    <w:rsid w:val="65391AD6"/>
    <w:rsid w:val="65875DAD"/>
    <w:rsid w:val="658967A7"/>
    <w:rsid w:val="65962C93"/>
    <w:rsid w:val="659C00AC"/>
    <w:rsid w:val="659F0B5B"/>
    <w:rsid w:val="65BC3130"/>
    <w:rsid w:val="65CB36A4"/>
    <w:rsid w:val="65D0128E"/>
    <w:rsid w:val="65D63F94"/>
    <w:rsid w:val="65E848BE"/>
    <w:rsid w:val="66040F4D"/>
    <w:rsid w:val="660874F0"/>
    <w:rsid w:val="66192A30"/>
    <w:rsid w:val="661E59C9"/>
    <w:rsid w:val="6621310D"/>
    <w:rsid w:val="66277FAF"/>
    <w:rsid w:val="66355606"/>
    <w:rsid w:val="664B5C0B"/>
    <w:rsid w:val="665244EE"/>
    <w:rsid w:val="66547455"/>
    <w:rsid w:val="66555E8B"/>
    <w:rsid w:val="666B43E4"/>
    <w:rsid w:val="6678346C"/>
    <w:rsid w:val="66A32FBE"/>
    <w:rsid w:val="66BF0A49"/>
    <w:rsid w:val="66C979C9"/>
    <w:rsid w:val="66CF222B"/>
    <w:rsid w:val="66E568FC"/>
    <w:rsid w:val="66E7282E"/>
    <w:rsid w:val="66FB11F6"/>
    <w:rsid w:val="67022E0D"/>
    <w:rsid w:val="670C4B07"/>
    <w:rsid w:val="670C54C0"/>
    <w:rsid w:val="6710610D"/>
    <w:rsid w:val="67342D1E"/>
    <w:rsid w:val="67445712"/>
    <w:rsid w:val="675D681D"/>
    <w:rsid w:val="67617AFA"/>
    <w:rsid w:val="67735DE9"/>
    <w:rsid w:val="6797706E"/>
    <w:rsid w:val="679A2557"/>
    <w:rsid w:val="67A834CD"/>
    <w:rsid w:val="67A858DB"/>
    <w:rsid w:val="67AC4269"/>
    <w:rsid w:val="67AE0C55"/>
    <w:rsid w:val="67B32DD2"/>
    <w:rsid w:val="67BE757E"/>
    <w:rsid w:val="67CB1910"/>
    <w:rsid w:val="67CE4FEE"/>
    <w:rsid w:val="67DF7CDE"/>
    <w:rsid w:val="67EF00DF"/>
    <w:rsid w:val="67FC1B7A"/>
    <w:rsid w:val="67FE4166"/>
    <w:rsid w:val="68030539"/>
    <w:rsid w:val="68095AC2"/>
    <w:rsid w:val="680C62B4"/>
    <w:rsid w:val="680D3724"/>
    <w:rsid w:val="681763AE"/>
    <w:rsid w:val="681C18C6"/>
    <w:rsid w:val="68235A84"/>
    <w:rsid w:val="682B5C1C"/>
    <w:rsid w:val="684809E3"/>
    <w:rsid w:val="684C1F1B"/>
    <w:rsid w:val="684D7EDA"/>
    <w:rsid w:val="685718E3"/>
    <w:rsid w:val="685861FF"/>
    <w:rsid w:val="685B0D6C"/>
    <w:rsid w:val="685D47FE"/>
    <w:rsid w:val="68637969"/>
    <w:rsid w:val="686E7375"/>
    <w:rsid w:val="6872313F"/>
    <w:rsid w:val="687264E6"/>
    <w:rsid w:val="6887272F"/>
    <w:rsid w:val="68A25EC5"/>
    <w:rsid w:val="68A85A76"/>
    <w:rsid w:val="68AA2144"/>
    <w:rsid w:val="68AB2361"/>
    <w:rsid w:val="68B4465C"/>
    <w:rsid w:val="68C01A2D"/>
    <w:rsid w:val="68C401C3"/>
    <w:rsid w:val="68C542EB"/>
    <w:rsid w:val="68DE4FFE"/>
    <w:rsid w:val="68E66707"/>
    <w:rsid w:val="68E82235"/>
    <w:rsid w:val="68EC77BF"/>
    <w:rsid w:val="69066B19"/>
    <w:rsid w:val="692C37E6"/>
    <w:rsid w:val="692E6AC2"/>
    <w:rsid w:val="69351647"/>
    <w:rsid w:val="694F6C0C"/>
    <w:rsid w:val="69560D9F"/>
    <w:rsid w:val="695F5461"/>
    <w:rsid w:val="696E0A32"/>
    <w:rsid w:val="699D2BE7"/>
    <w:rsid w:val="69A45758"/>
    <w:rsid w:val="69A833BD"/>
    <w:rsid w:val="69A86D71"/>
    <w:rsid w:val="69C070C2"/>
    <w:rsid w:val="69C53327"/>
    <w:rsid w:val="69C80569"/>
    <w:rsid w:val="69E56543"/>
    <w:rsid w:val="69F37CD2"/>
    <w:rsid w:val="6A0F1F08"/>
    <w:rsid w:val="6A301F56"/>
    <w:rsid w:val="6A4D316F"/>
    <w:rsid w:val="6A593BA7"/>
    <w:rsid w:val="6A71067F"/>
    <w:rsid w:val="6ACB5748"/>
    <w:rsid w:val="6B0F3C47"/>
    <w:rsid w:val="6B200BC6"/>
    <w:rsid w:val="6B2A14B2"/>
    <w:rsid w:val="6B2A713F"/>
    <w:rsid w:val="6B3B1F61"/>
    <w:rsid w:val="6B4037CD"/>
    <w:rsid w:val="6B442A0C"/>
    <w:rsid w:val="6B49794F"/>
    <w:rsid w:val="6B4F0199"/>
    <w:rsid w:val="6B7931AF"/>
    <w:rsid w:val="6B7A347F"/>
    <w:rsid w:val="6B8A74AA"/>
    <w:rsid w:val="6B912A35"/>
    <w:rsid w:val="6B9735AF"/>
    <w:rsid w:val="6B9D0F9E"/>
    <w:rsid w:val="6BA53029"/>
    <w:rsid w:val="6BA77259"/>
    <w:rsid w:val="6BC46894"/>
    <w:rsid w:val="6BCF71ED"/>
    <w:rsid w:val="6BDF33F9"/>
    <w:rsid w:val="6BE1053C"/>
    <w:rsid w:val="6BFE454F"/>
    <w:rsid w:val="6C055095"/>
    <w:rsid w:val="6C363058"/>
    <w:rsid w:val="6C460D0E"/>
    <w:rsid w:val="6C4A6633"/>
    <w:rsid w:val="6C5C46AC"/>
    <w:rsid w:val="6C667457"/>
    <w:rsid w:val="6C710ECC"/>
    <w:rsid w:val="6C7F0147"/>
    <w:rsid w:val="6C812181"/>
    <w:rsid w:val="6C9C7F36"/>
    <w:rsid w:val="6C9D075A"/>
    <w:rsid w:val="6CA67945"/>
    <w:rsid w:val="6CAA51CB"/>
    <w:rsid w:val="6CAE10B7"/>
    <w:rsid w:val="6CB01D8D"/>
    <w:rsid w:val="6CB06CB1"/>
    <w:rsid w:val="6CB5010A"/>
    <w:rsid w:val="6CC06B85"/>
    <w:rsid w:val="6CC3522C"/>
    <w:rsid w:val="6CC53F8B"/>
    <w:rsid w:val="6CDC0A79"/>
    <w:rsid w:val="6CED583C"/>
    <w:rsid w:val="6CF7663B"/>
    <w:rsid w:val="6CFA0847"/>
    <w:rsid w:val="6CFF5361"/>
    <w:rsid w:val="6D0655C0"/>
    <w:rsid w:val="6D082886"/>
    <w:rsid w:val="6D1A38D3"/>
    <w:rsid w:val="6D1B0137"/>
    <w:rsid w:val="6D244942"/>
    <w:rsid w:val="6D285595"/>
    <w:rsid w:val="6D291796"/>
    <w:rsid w:val="6D382DE4"/>
    <w:rsid w:val="6D566F0F"/>
    <w:rsid w:val="6D60689F"/>
    <w:rsid w:val="6D6410E7"/>
    <w:rsid w:val="6D7C61E2"/>
    <w:rsid w:val="6D836F72"/>
    <w:rsid w:val="6D912733"/>
    <w:rsid w:val="6D9E63E0"/>
    <w:rsid w:val="6DA279E1"/>
    <w:rsid w:val="6DAC5479"/>
    <w:rsid w:val="6DB5196D"/>
    <w:rsid w:val="6DC43F4C"/>
    <w:rsid w:val="6DC90E5A"/>
    <w:rsid w:val="6DCA1E5E"/>
    <w:rsid w:val="6DCC4176"/>
    <w:rsid w:val="6DD10EE8"/>
    <w:rsid w:val="6DD4039C"/>
    <w:rsid w:val="6DD837B9"/>
    <w:rsid w:val="6DDE3DAF"/>
    <w:rsid w:val="6DDF2DDF"/>
    <w:rsid w:val="6DE87BA6"/>
    <w:rsid w:val="6E015363"/>
    <w:rsid w:val="6E01608A"/>
    <w:rsid w:val="6E0B2FFD"/>
    <w:rsid w:val="6E2D223C"/>
    <w:rsid w:val="6E3241BE"/>
    <w:rsid w:val="6E38130F"/>
    <w:rsid w:val="6E506FD4"/>
    <w:rsid w:val="6E621A77"/>
    <w:rsid w:val="6E740206"/>
    <w:rsid w:val="6E7D5F0D"/>
    <w:rsid w:val="6E8943C9"/>
    <w:rsid w:val="6E9D50CB"/>
    <w:rsid w:val="6E9E4C09"/>
    <w:rsid w:val="6EA629A2"/>
    <w:rsid w:val="6EB36C9B"/>
    <w:rsid w:val="6EB97A9D"/>
    <w:rsid w:val="6ECE29CC"/>
    <w:rsid w:val="6ED04309"/>
    <w:rsid w:val="6ED44019"/>
    <w:rsid w:val="6EDF586A"/>
    <w:rsid w:val="6EE640A8"/>
    <w:rsid w:val="6EF10A90"/>
    <w:rsid w:val="6F1218C9"/>
    <w:rsid w:val="6F1E0E67"/>
    <w:rsid w:val="6F4E0376"/>
    <w:rsid w:val="6F5001B3"/>
    <w:rsid w:val="6F504F2E"/>
    <w:rsid w:val="6F6A6938"/>
    <w:rsid w:val="6F822D8B"/>
    <w:rsid w:val="6F85698C"/>
    <w:rsid w:val="6F90158F"/>
    <w:rsid w:val="6F932E87"/>
    <w:rsid w:val="6F9E42AB"/>
    <w:rsid w:val="6F9E4317"/>
    <w:rsid w:val="6FB755DE"/>
    <w:rsid w:val="6FCD19EA"/>
    <w:rsid w:val="6FD30844"/>
    <w:rsid w:val="6FD41F8C"/>
    <w:rsid w:val="6FDF5EB9"/>
    <w:rsid w:val="6FEE357B"/>
    <w:rsid w:val="6FFF1868"/>
    <w:rsid w:val="70206203"/>
    <w:rsid w:val="702754E8"/>
    <w:rsid w:val="70331AC5"/>
    <w:rsid w:val="704B1C2A"/>
    <w:rsid w:val="70833256"/>
    <w:rsid w:val="70896DF1"/>
    <w:rsid w:val="70A74A7A"/>
    <w:rsid w:val="70CF1B21"/>
    <w:rsid w:val="70D40EDE"/>
    <w:rsid w:val="70E42132"/>
    <w:rsid w:val="70F274FC"/>
    <w:rsid w:val="70F61B9D"/>
    <w:rsid w:val="71094101"/>
    <w:rsid w:val="710C31B5"/>
    <w:rsid w:val="71193929"/>
    <w:rsid w:val="713801D6"/>
    <w:rsid w:val="714D4E9F"/>
    <w:rsid w:val="714F3A1D"/>
    <w:rsid w:val="715F4C2D"/>
    <w:rsid w:val="716F2E9F"/>
    <w:rsid w:val="71937BCB"/>
    <w:rsid w:val="71974245"/>
    <w:rsid w:val="719C621B"/>
    <w:rsid w:val="71A02497"/>
    <w:rsid w:val="71AB5568"/>
    <w:rsid w:val="71AE42F1"/>
    <w:rsid w:val="71B15694"/>
    <w:rsid w:val="71B63F24"/>
    <w:rsid w:val="71ED389A"/>
    <w:rsid w:val="71F9130C"/>
    <w:rsid w:val="721A4F0B"/>
    <w:rsid w:val="721B36E4"/>
    <w:rsid w:val="721D3791"/>
    <w:rsid w:val="722668D2"/>
    <w:rsid w:val="722F78FB"/>
    <w:rsid w:val="723D06ED"/>
    <w:rsid w:val="723D67C5"/>
    <w:rsid w:val="724D0F19"/>
    <w:rsid w:val="72517D41"/>
    <w:rsid w:val="726118ED"/>
    <w:rsid w:val="726317C1"/>
    <w:rsid w:val="7288343E"/>
    <w:rsid w:val="728B54FA"/>
    <w:rsid w:val="72A05B9C"/>
    <w:rsid w:val="72A16B66"/>
    <w:rsid w:val="72A25AEE"/>
    <w:rsid w:val="72AF5368"/>
    <w:rsid w:val="72BC2E0B"/>
    <w:rsid w:val="72BF60CA"/>
    <w:rsid w:val="72D57759"/>
    <w:rsid w:val="72EA1DC7"/>
    <w:rsid w:val="72F41282"/>
    <w:rsid w:val="72FE7563"/>
    <w:rsid w:val="730E1467"/>
    <w:rsid w:val="732715E5"/>
    <w:rsid w:val="73357973"/>
    <w:rsid w:val="733D0D32"/>
    <w:rsid w:val="733D2693"/>
    <w:rsid w:val="73417693"/>
    <w:rsid w:val="73461D91"/>
    <w:rsid w:val="734F0CE7"/>
    <w:rsid w:val="73565D79"/>
    <w:rsid w:val="735D1B74"/>
    <w:rsid w:val="735E7031"/>
    <w:rsid w:val="73621B8E"/>
    <w:rsid w:val="73694210"/>
    <w:rsid w:val="736B0707"/>
    <w:rsid w:val="738A7C96"/>
    <w:rsid w:val="73977605"/>
    <w:rsid w:val="73A30DE0"/>
    <w:rsid w:val="73C00678"/>
    <w:rsid w:val="73CF6BEC"/>
    <w:rsid w:val="73D153A5"/>
    <w:rsid w:val="73D411F1"/>
    <w:rsid w:val="73DD5694"/>
    <w:rsid w:val="73FB3EB7"/>
    <w:rsid w:val="74064CDC"/>
    <w:rsid w:val="740D6E64"/>
    <w:rsid w:val="7428411E"/>
    <w:rsid w:val="74444FD6"/>
    <w:rsid w:val="744F5A05"/>
    <w:rsid w:val="74716CB1"/>
    <w:rsid w:val="748603EC"/>
    <w:rsid w:val="74A46A79"/>
    <w:rsid w:val="74B51ECE"/>
    <w:rsid w:val="74B76993"/>
    <w:rsid w:val="74B864F1"/>
    <w:rsid w:val="74BB6FA7"/>
    <w:rsid w:val="74CC43B8"/>
    <w:rsid w:val="74CC4A9D"/>
    <w:rsid w:val="74DB4AD4"/>
    <w:rsid w:val="74E044A9"/>
    <w:rsid w:val="74FA3E77"/>
    <w:rsid w:val="74FE769F"/>
    <w:rsid w:val="75006A5B"/>
    <w:rsid w:val="7516331A"/>
    <w:rsid w:val="751C3961"/>
    <w:rsid w:val="751C5C95"/>
    <w:rsid w:val="7528075D"/>
    <w:rsid w:val="752C37FF"/>
    <w:rsid w:val="7535111C"/>
    <w:rsid w:val="753811DE"/>
    <w:rsid w:val="753A7507"/>
    <w:rsid w:val="75411FCE"/>
    <w:rsid w:val="75440984"/>
    <w:rsid w:val="754A221E"/>
    <w:rsid w:val="755579B1"/>
    <w:rsid w:val="756B66D6"/>
    <w:rsid w:val="7571258C"/>
    <w:rsid w:val="75815A32"/>
    <w:rsid w:val="75894102"/>
    <w:rsid w:val="758A40BE"/>
    <w:rsid w:val="75967DFA"/>
    <w:rsid w:val="75987640"/>
    <w:rsid w:val="75B217C2"/>
    <w:rsid w:val="75B66E9B"/>
    <w:rsid w:val="75B76440"/>
    <w:rsid w:val="75BE67D4"/>
    <w:rsid w:val="75C2004C"/>
    <w:rsid w:val="75C31E99"/>
    <w:rsid w:val="75C759C1"/>
    <w:rsid w:val="75D73BB3"/>
    <w:rsid w:val="760E418F"/>
    <w:rsid w:val="76237540"/>
    <w:rsid w:val="76250865"/>
    <w:rsid w:val="762D64F3"/>
    <w:rsid w:val="76371DD9"/>
    <w:rsid w:val="7640392A"/>
    <w:rsid w:val="764F7B90"/>
    <w:rsid w:val="76525AB6"/>
    <w:rsid w:val="766E0E16"/>
    <w:rsid w:val="767E7EFF"/>
    <w:rsid w:val="767F490E"/>
    <w:rsid w:val="769E4C2D"/>
    <w:rsid w:val="76A03E90"/>
    <w:rsid w:val="76AB5F0A"/>
    <w:rsid w:val="76B1218E"/>
    <w:rsid w:val="76B5038D"/>
    <w:rsid w:val="76C57169"/>
    <w:rsid w:val="76E36A81"/>
    <w:rsid w:val="76F603C2"/>
    <w:rsid w:val="76F77A89"/>
    <w:rsid w:val="76FE56EB"/>
    <w:rsid w:val="77071801"/>
    <w:rsid w:val="77081533"/>
    <w:rsid w:val="770C20D5"/>
    <w:rsid w:val="772B4BEA"/>
    <w:rsid w:val="772C7A78"/>
    <w:rsid w:val="77534B96"/>
    <w:rsid w:val="775B4604"/>
    <w:rsid w:val="776F4BB6"/>
    <w:rsid w:val="7775215A"/>
    <w:rsid w:val="777A08F4"/>
    <w:rsid w:val="7781073E"/>
    <w:rsid w:val="77A17F8E"/>
    <w:rsid w:val="77A85CFF"/>
    <w:rsid w:val="77C067C3"/>
    <w:rsid w:val="77D3696A"/>
    <w:rsid w:val="77DB19DB"/>
    <w:rsid w:val="77E50650"/>
    <w:rsid w:val="77EF51A2"/>
    <w:rsid w:val="780479BF"/>
    <w:rsid w:val="78094BD7"/>
    <w:rsid w:val="780D6C4F"/>
    <w:rsid w:val="78134DB8"/>
    <w:rsid w:val="78220195"/>
    <w:rsid w:val="786916EC"/>
    <w:rsid w:val="78877156"/>
    <w:rsid w:val="78911E31"/>
    <w:rsid w:val="78D00DB0"/>
    <w:rsid w:val="78E8339A"/>
    <w:rsid w:val="7922350F"/>
    <w:rsid w:val="792B5470"/>
    <w:rsid w:val="792C1F85"/>
    <w:rsid w:val="79392FF8"/>
    <w:rsid w:val="79443502"/>
    <w:rsid w:val="794F35A6"/>
    <w:rsid w:val="79587B58"/>
    <w:rsid w:val="79673C53"/>
    <w:rsid w:val="796905D1"/>
    <w:rsid w:val="79783B0C"/>
    <w:rsid w:val="797D7F01"/>
    <w:rsid w:val="79A05354"/>
    <w:rsid w:val="79A31A38"/>
    <w:rsid w:val="79A54E28"/>
    <w:rsid w:val="79E204A3"/>
    <w:rsid w:val="79E545A0"/>
    <w:rsid w:val="79F717DF"/>
    <w:rsid w:val="79F8744A"/>
    <w:rsid w:val="7A030C7E"/>
    <w:rsid w:val="7A0472D6"/>
    <w:rsid w:val="7A0717C1"/>
    <w:rsid w:val="7A0B6E83"/>
    <w:rsid w:val="7A460A2C"/>
    <w:rsid w:val="7A4E0EDC"/>
    <w:rsid w:val="7A6F565F"/>
    <w:rsid w:val="7A805419"/>
    <w:rsid w:val="7A83275F"/>
    <w:rsid w:val="7A8511B0"/>
    <w:rsid w:val="7A8F2F38"/>
    <w:rsid w:val="7A9367CB"/>
    <w:rsid w:val="7A9D0980"/>
    <w:rsid w:val="7AA65741"/>
    <w:rsid w:val="7ABD0B81"/>
    <w:rsid w:val="7ABE5FBB"/>
    <w:rsid w:val="7AC37049"/>
    <w:rsid w:val="7AD9076A"/>
    <w:rsid w:val="7ADB3E53"/>
    <w:rsid w:val="7AE653F1"/>
    <w:rsid w:val="7AF22571"/>
    <w:rsid w:val="7AF72185"/>
    <w:rsid w:val="7AF759BC"/>
    <w:rsid w:val="7AF81895"/>
    <w:rsid w:val="7B1C0D4B"/>
    <w:rsid w:val="7B282B02"/>
    <w:rsid w:val="7B44635D"/>
    <w:rsid w:val="7B6018A6"/>
    <w:rsid w:val="7B69224B"/>
    <w:rsid w:val="7BA23E04"/>
    <w:rsid w:val="7BAF6254"/>
    <w:rsid w:val="7BB33499"/>
    <w:rsid w:val="7BB5539B"/>
    <w:rsid w:val="7BBC615A"/>
    <w:rsid w:val="7BBF68BE"/>
    <w:rsid w:val="7BC419CF"/>
    <w:rsid w:val="7BC53655"/>
    <w:rsid w:val="7BC83F54"/>
    <w:rsid w:val="7BCA6C92"/>
    <w:rsid w:val="7BD478BA"/>
    <w:rsid w:val="7BE80F25"/>
    <w:rsid w:val="7C162328"/>
    <w:rsid w:val="7C1C35A7"/>
    <w:rsid w:val="7C216730"/>
    <w:rsid w:val="7C282F2D"/>
    <w:rsid w:val="7C2A17F0"/>
    <w:rsid w:val="7C45431D"/>
    <w:rsid w:val="7C9A2330"/>
    <w:rsid w:val="7C9D61BC"/>
    <w:rsid w:val="7CA82200"/>
    <w:rsid w:val="7CBF370F"/>
    <w:rsid w:val="7CDC4449"/>
    <w:rsid w:val="7CE41DE7"/>
    <w:rsid w:val="7CF5272C"/>
    <w:rsid w:val="7CF97C7A"/>
    <w:rsid w:val="7CFE7FD2"/>
    <w:rsid w:val="7D027DC3"/>
    <w:rsid w:val="7D084EB2"/>
    <w:rsid w:val="7D0A7433"/>
    <w:rsid w:val="7D1D5E4B"/>
    <w:rsid w:val="7D204D90"/>
    <w:rsid w:val="7D217FDA"/>
    <w:rsid w:val="7D290F22"/>
    <w:rsid w:val="7D3219D5"/>
    <w:rsid w:val="7D3330CE"/>
    <w:rsid w:val="7D3553EF"/>
    <w:rsid w:val="7D444267"/>
    <w:rsid w:val="7D4A0027"/>
    <w:rsid w:val="7D5B649A"/>
    <w:rsid w:val="7D7772FB"/>
    <w:rsid w:val="7D833257"/>
    <w:rsid w:val="7D8D32FC"/>
    <w:rsid w:val="7D991C50"/>
    <w:rsid w:val="7DA76CFA"/>
    <w:rsid w:val="7DAD04AF"/>
    <w:rsid w:val="7DC43066"/>
    <w:rsid w:val="7DCC55DA"/>
    <w:rsid w:val="7DDA520A"/>
    <w:rsid w:val="7DDD0501"/>
    <w:rsid w:val="7DE234DC"/>
    <w:rsid w:val="7DE51372"/>
    <w:rsid w:val="7E075D2D"/>
    <w:rsid w:val="7E085776"/>
    <w:rsid w:val="7E0F3A80"/>
    <w:rsid w:val="7E1C120B"/>
    <w:rsid w:val="7E1F6540"/>
    <w:rsid w:val="7E4648AA"/>
    <w:rsid w:val="7E480ACC"/>
    <w:rsid w:val="7E535653"/>
    <w:rsid w:val="7E5E590F"/>
    <w:rsid w:val="7E6B59F3"/>
    <w:rsid w:val="7E935AFB"/>
    <w:rsid w:val="7E9E4F2F"/>
    <w:rsid w:val="7EAC4CDC"/>
    <w:rsid w:val="7EC35188"/>
    <w:rsid w:val="7ED172B5"/>
    <w:rsid w:val="7ED800CA"/>
    <w:rsid w:val="7EDD5CEC"/>
    <w:rsid w:val="7EE43C82"/>
    <w:rsid w:val="7EEA251F"/>
    <w:rsid w:val="7EEE27BD"/>
    <w:rsid w:val="7EF425B1"/>
    <w:rsid w:val="7F0175D4"/>
    <w:rsid w:val="7F0A51C7"/>
    <w:rsid w:val="7F0A7F03"/>
    <w:rsid w:val="7F1133E2"/>
    <w:rsid w:val="7F3E4689"/>
    <w:rsid w:val="7F405F79"/>
    <w:rsid w:val="7F5C33A2"/>
    <w:rsid w:val="7F735A28"/>
    <w:rsid w:val="7F78573F"/>
    <w:rsid w:val="7F7A455E"/>
    <w:rsid w:val="7F7A69E6"/>
    <w:rsid w:val="7F7B4D54"/>
    <w:rsid w:val="7F904863"/>
    <w:rsid w:val="7F9C6ADB"/>
    <w:rsid w:val="7FA23E7C"/>
    <w:rsid w:val="7FA6410A"/>
    <w:rsid w:val="7FA75A26"/>
    <w:rsid w:val="7FBE551A"/>
    <w:rsid w:val="7FC90A85"/>
    <w:rsid w:val="7FCB7818"/>
    <w:rsid w:val="7FD02878"/>
    <w:rsid w:val="7FD13CB3"/>
    <w:rsid w:val="7FDC6223"/>
    <w:rsid w:val="7FDF141F"/>
    <w:rsid w:val="7FE06B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Arial" w:hAnsi="Arial" w:eastAsia="Times New Roman" w:cs="Times New Roman"/>
      <w:szCs w:val="24"/>
      <w:lang w:val="en-US" w:eastAsia="en-US" w:bidi="ar-SA"/>
    </w:rPr>
  </w:style>
  <w:style w:type="paragraph" w:styleId="2">
    <w:name w:val="heading 1"/>
    <w:basedOn w:val="1"/>
    <w:next w:val="1"/>
    <w:link w:val="22"/>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3"/>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50"/>
    <w:unhideWhenUsed/>
    <w:qFormat/>
    <w:uiPriority w:val="9"/>
    <w:pPr>
      <w:keepNext/>
      <w:keepLines/>
      <w:spacing w:before="260" w:after="260" w:line="416" w:lineRule="auto"/>
      <w:outlineLvl w:val="2"/>
    </w:pPr>
    <w:rPr>
      <w:sz w:val="32"/>
      <w:szCs w:val="32"/>
    </w:rPr>
  </w:style>
  <w:style w:type="paragraph" w:styleId="5">
    <w:name w:val="heading 4"/>
    <w:basedOn w:val="4"/>
    <w:next w:val="1"/>
    <w:unhideWhenUsed/>
    <w:qFormat/>
    <w:uiPriority w:val="9"/>
    <w:pPr>
      <w:keepNext/>
      <w:keepLines/>
      <w:spacing w:before="280" w:beforeLines="0" w:beforeAutospacing="0" w:after="290" w:afterLines="0" w:afterAutospacing="0" w:line="372" w:lineRule="auto"/>
      <w:outlineLvl w:val="3"/>
    </w:pPr>
    <w:rPr>
      <w:rFonts w:ascii="Arial" w:hAnsi="Arial" w:eastAsia="黑体"/>
      <w:sz w:val="28"/>
    </w:rPr>
  </w:style>
  <w:style w:type="character" w:default="1" w:styleId="19">
    <w:name w:val="Default Paragraph Font"/>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30"/>
    <w:semiHidden/>
    <w:unhideWhenUsed/>
    <w:qFormat/>
    <w:uiPriority w:val="99"/>
    <w:rPr>
      <w:rFonts w:ascii="宋体" w:eastAsia="宋体"/>
      <w:sz w:val="18"/>
      <w:szCs w:val="18"/>
    </w:rPr>
  </w:style>
  <w:style w:type="paragraph" w:styleId="8">
    <w:name w:val="annotation text"/>
    <w:basedOn w:val="1"/>
    <w:semiHidden/>
    <w:unhideWhenUsed/>
    <w:qFormat/>
    <w:uiPriority w:val="0"/>
    <w:pPr>
      <w:jc w:val="left"/>
    </w:pPr>
  </w:style>
  <w:style w:type="paragraph" w:styleId="9">
    <w:name w:val="Body Text"/>
    <w:basedOn w:val="1"/>
    <w:link w:val="24"/>
    <w:qFormat/>
    <w:uiPriority w:val="0"/>
    <w:pPr>
      <w:spacing w:after="120"/>
      <w:jc w:val="both"/>
    </w:pPr>
    <w:rPr>
      <w:rFonts w:eastAsia="MS Mincho"/>
      <w:lang w:val="zh-CN"/>
    </w:rPr>
  </w:style>
  <w:style w:type="paragraph" w:styleId="10">
    <w:name w:val="List 2"/>
    <w:basedOn w:val="11"/>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1">
    <w:name w:val="List"/>
    <w:basedOn w:val="1"/>
    <w:semiHidden/>
    <w:unhideWhenUsed/>
    <w:qFormat/>
    <w:uiPriority w:val="99"/>
    <w:pPr>
      <w:ind w:left="200" w:hanging="200" w:hangingChars="200"/>
      <w:contextualSpacing/>
    </w:pPr>
  </w:style>
  <w:style w:type="paragraph" w:styleId="12">
    <w:name w:val="Date"/>
    <w:basedOn w:val="1"/>
    <w:next w:val="1"/>
    <w:link w:val="47"/>
    <w:semiHidden/>
    <w:unhideWhenUsed/>
    <w:qFormat/>
    <w:uiPriority w:val="99"/>
    <w:pPr>
      <w:ind w:left="100" w:leftChars="2500"/>
    </w:pPr>
  </w:style>
  <w:style w:type="paragraph" w:styleId="13">
    <w:name w:val="Balloon Text"/>
    <w:basedOn w:val="1"/>
    <w:link w:val="28"/>
    <w:semiHidden/>
    <w:unhideWhenUsed/>
    <w:qFormat/>
    <w:uiPriority w:val="99"/>
    <w:rPr>
      <w:sz w:val="18"/>
      <w:szCs w:val="18"/>
      <w:lang w:val="zh-CN"/>
    </w:rPr>
  </w:style>
  <w:style w:type="paragraph" w:styleId="14">
    <w:name w:val="footer"/>
    <w:basedOn w:val="1"/>
    <w:link w:val="27"/>
    <w:unhideWhenUsed/>
    <w:qFormat/>
    <w:uiPriority w:val="99"/>
    <w:pPr>
      <w:tabs>
        <w:tab w:val="center" w:pos="4153"/>
        <w:tab w:val="right" w:pos="8306"/>
      </w:tabs>
      <w:snapToGrid w:val="0"/>
    </w:pPr>
    <w:rPr>
      <w:sz w:val="18"/>
      <w:szCs w:val="18"/>
      <w:lang w:val="zh-CN"/>
    </w:rPr>
  </w:style>
  <w:style w:type="paragraph" w:styleId="15">
    <w:name w:val="header"/>
    <w:basedOn w:val="1"/>
    <w:link w:val="25"/>
    <w:qFormat/>
    <w:uiPriority w:val="0"/>
    <w:pPr>
      <w:tabs>
        <w:tab w:val="center" w:pos="4536"/>
        <w:tab w:val="right" w:pos="9072"/>
      </w:tabs>
    </w:pPr>
    <w:rPr>
      <w:rFonts w:ascii="Arial" w:hAnsi="Arial" w:eastAsia="MS Mincho"/>
      <w:b/>
      <w:lang w:val="zh-CN"/>
    </w:rPr>
  </w:style>
  <w:style w:type="paragraph" w:styleId="16">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8">
    <w:name w:val="Table Grid"/>
    <w:basedOn w:val="1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semiHidden/>
    <w:qFormat/>
    <w:uiPriority w:val="0"/>
  </w:style>
  <w:style w:type="character" w:styleId="21">
    <w:name w:val="Hyperlink"/>
    <w:basedOn w:val="19"/>
    <w:qFormat/>
    <w:uiPriority w:val="99"/>
    <w:rPr>
      <w:color w:val="0000FF"/>
      <w:u w:val="single"/>
    </w:rPr>
  </w:style>
  <w:style w:type="character" w:customStyle="1" w:styleId="22">
    <w:name w:val="Heading 1 Char"/>
    <w:link w:val="2"/>
    <w:qFormat/>
    <w:uiPriority w:val="0"/>
    <w:rPr>
      <w:rFonts w:ascii="Helvetica" w:hAnsi="Helvetica" w:eastAsia="MS Mincho" w:cs="Times New Roman"/>
      <w:b/>
      <w:bCs/>
      <w:kern w:val="32"/>
      <w:sz w:val="28"/>
      <w:szCs w:val="32"/>
      <w:lang w:val="zh-CN" w:eastAsia="en-US"/>
    </w:rPr>
  </w:style>
  <w:style w:type="character" w:customStyle="1" w:styleId="23">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4">
    <w:name w:val="Body Text Char"/>
    <w:link w:val="9"/>
    <w:qFormat/>
    <w:uiPriority w:val="0"/>
    <w:rPr>
      <w:rFonts w:ascii="Times New Roman" w:hAnsi="Times New Roman" w:eastAsia="MS Mincho" w:cs="Times New Roman"/>
      <w:kern w:val="0"/>
      <w:sz w:val="20"/>
      <w:szCs w:val="24"/>
      <w:lang w:val="zh-CN" w:eastAsia="en-US"/>
    </w:rPr>
  </w:style>
  <w:style w:type="character" w:customStyle="1" w:styleId="25">
    <w:name w:val="Header Char"/>
    <w:link w:val="15"/>
    <w:qFormat/>
    <w:uiPriority w:val="0"/>
    <w:rPr>
      <w:rFonts w:ascii="Arial" w:hAnsi="Arial" w:eastAsia="MS Mincho" w:cs="Times New Roman"/>
      <w:b/>
      <w:kern w:val="0"/>
      <w:sz w:val="20"/>
      <w:szCs w:val="24"/>
      <w:lang w:val="zh-CN" w:eastAsia="en-US"/>
    </w:rPr>
  </w:style>
  <w:style w:type="paragraph" w:customStyle="1" w:styleId="26">
    <w:name w:val="Paragraphe de liste"/>
    <w:basedOn w:val="1"/>
    <w:qFormat/>
    <w:uiPriority w:val="34"/>
    <w:pPr>
      <w:ind w:left="720"/>
    </w:pPr>
    <w:rPr>
      <w:rFonts w:eastAsia="宋体"/>
      <w:sz w:val="24"/>
      <w:lang w:val="fr-FR" w:eastAsia="zh-CN"/>
    </w:rPr>
  </w:style>
  <w:style w:type="character" w:customStyle="1" w:styleId="27">
    <w:name w:val="Footer Char"/>
    <w:link w:val="14"/>
    <w:qFormat/>
    <w:uiPriority w:val="99"/>
    <w:rPr>
      <w:rFonts w:ascii="Times New Roman" w:hAnsi="Times New Roman" w:eastAsia="Times New Roman" w:cs="Times New Roman"/>
      <w:kern w:val="0"/>
      <w:sz w:val="18"/>
      <w:szCs w:val="18"/>
      <w:lang w:eastAsia="en-US"/>
    </w:rPr>
  </w:style>
  <w:style w:type="character" w:customStyle="1" w:styleId="28">
    <w:name w:val="Balloon Text Char"/>
    <w:link w:val="13"/>
    <w:semiHidden/>
    <w:qFormat/>
    <w:uiPriority w:val="99"/>
    <w:rPr>
      <w:rFonts w:ascii="Times New Roman" w:hAnsi="Times New Roman" w:eastAsia="Times New Roman" w:cs="Times New Roman"/>
      <w:kern w:val="0"/>
      <w:sz w:val="18"/>
      <w:szCs w:val="18"/>
      <w:lang w:eastAsia="en-US"/>
    </w:rPr>
  </w:style>
  <w:style w:type="paragraph" w:styleId="29">
    <w:name w:val="List Paragraph"/>
    <w:basedOn w:val="1"/>
    <w:link w:val="45"/>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0">
    <w:name w:val="Document Map Char"/>
    <w:link w:val="7"/>
    <w:semiHidden/>
    <w:qFormat/>
    <w:uiPriority w:val="99"/>
    <w:rPr>
      <w:rFonts w:ascii="宋体" w:hAnsi="Times New Roman"/>
      <w:sz w:val="18"/>
      <w:szCs w:val="18"/>
      <w:lang w:eastAsia="en-US"/>
    </w:rPr>
  </w:style>
  <w:style w:type="paragraph" w:customStyle="1" w:styleId="31">
    <w:name w:val="B1"/>
    <w:basedOn w:val="11"/>
    <w:link w:val="32"/>
    <w:qFormat/>
    <w:uiPriority w:val="0"/>
    <w:pPr>
      <w:spacing w:after="180"/>
      <w:ind w:left="568" w:hanging="284" w:firstLineChars="0"/>
      <w:contextualSpacing w:val="0"/>
    </w:pPr>
    <w:rPr>
      <w:rFonts w:eastAsia="宋体"/>
      <w:szCs w:val="20"/>
      <w:lang w:val="en-GB"/>
    </w:rPr>
  </w:style>
  <w:style w:type="character" w:customStyle="1" w:styleId="32">
    <w:name w:val="B1 (文字)"/>
    <w:link w:val="31"/>
    <w:qFormat/>
    <w:locked/>
    <w:uiPriority w:val="0"/>
    <w:rPr>
      <w:rFonts w:ascii="Times New Roman" w:hAnsi="Times New Roman"/>
      <w:lang w:val="en-GB" w:eastAsia="en-US"/>
    </w:rPr>
  </w:style>
  <w:style w:type="character" w:customStyle="1" w:styleId="33">
    <w:name w:val="B1 Char1"/>
    <w:qFormat/>
    <w:uiPriority w:val="0"/>
    <w:rPr>
      <w:lang w:val="en-GB" w:eastAsia="en-US"/>
    </w:rPr>
  </w:style>
  <w:style w:type="paragraph" w:customStyle="1" w:styleId="34">
    <w:name w:val="TAH"/>
    <w:basedOn w:val="35"/>
    <w:link w:val="40"/>
    <w:qFormat/>
    <w:uiPriority w:val="0"/>
    <w:rPr>
      <w:b/>
    </w:rPr>
  </w:style>
  <w:style w:type="paragraph" w:customStyle="1" w:styleId="35">
    <w:name w:val="TAC"/>
    <w:basedOn w:val="36"/>
    <w:link w:val="39"/>
    <w:qFormat/>
    <w:uiPriority w:val="0"/>
    <w:pPr>
      <w:keepNext/>
      <w:keepLines/>
      <w:jc w:val="center"/>
    </w:pPr>
    <w:rPr>
      <w:rFonts w:ascii="Arial" w:hAnsi="Arial" w:eastAsia="宋体"/>
      <w:sz w:val="18"/>
      <w:szCs w:val="20"/>
      <w:lang w:val="en-GB" w:eastAsia="zh-CN"/>
    </w:rPr>
  </w:style>
  <w:style w:type="paragraph" w:customStyle="1" w:styleId="36">
    <w:name w:val="TAL"/>
    <w:basedOn w:val="1"/>
    <w:link w:val="49"/>
    <w:qFormat/>
    <w:uiPriority w:val="0"/>
    <w:pPr>
      <w:keepNext/>
      <w:keepLines/>
    </w:pPr>
    <w:rPr>
      <w:rFonts w:ascii="Arial" w:hAnsi="Arial" w:eastAsia="宋体"/>
      <w:sz w:val="18"/>
      <w:szCs w:val="20"/>
      <w:lang w:val="en-GB"/>
    </w:rPr>
  </w:style>
  <w:style w:type="paragraph" w:customStyle="1" w:styleId="37">
    <w:name w:val="TH"/>
    <w:basedOn w:val="1"/>
    <w:link w:val="38"/>
    <w:qFormat/>
    <w:uiPriority w:val="0"/>
    <w:pPr>
      <w:keepNext/>
      <w:keepLines/>
      <w:spacing w:before="60" w:after="180"/>
      <w:jc w:val="center"/>
    </w:pPr>
    <w:rPr>
      <w:rFonts w:ascii="Arial" w:hAnsi="Arial" w:eastAsia="宋体"/>
      <w:b/>
      <w:szCs w:val="20"/>
      <w:lang w:val="en-GB" w:eastAsia="zh-CN"/>
    </w:rPr>
  </w:style>
  <w:style w:type="character" w:customStyle="1" w:styleId="38">
    <w:name w:val="TH Char"/>
    <w:link w:val="37"/>
    <w:qFormat/>
    <w:uiPriority w:val="0"/>
    <w:rPr>
      <w:rFonts w:ascii="Arial" w:hAnsi="Arial" w:eastAsia="宋体"/>
      <w:b/>
      <w:lang w:val="en-GB" w:eastAsia="zh-CN"/>
    </w:rPr>
  </w:style>
  <w:style w:type="character" w:customStyle="1" w:styleId="39">
    <w:name w:val="TAC Char"/>
    <w:link w:val="35"/>
    <w:qFormat/>
    <w:uiPriority w:val="0"/>
    <w:rPr>
      <w:rFonts w:ascii="Arial" w:hAnsi="Arial" w:eastAsia="宋体"/>
      <w:sz w:val="18"/>
      <w:lang w:val="en-GB" w:eastAsia="zh-CN"/>
    </w:rPr>
  </w:style>
  <w:style w:type="character" w:customStyle="1" w:styleId="40">
    <w:name w:val="TAH Car"/>
    <w:link w:val="34"/>
    <w:qFormat/>
    <w:uiPriority w:val="0"/>
    <w:rPr>
      <w:rFonts w:ascii="Arial" w:hAnsi="Arial" w:eastAsia="宋体"/>
      <w:b/>
      <w:sz w:val="18"/>
      <w:lang w:val="en-GB" w:eastAsia="zh-CN"/>
    </w:rPr>
  </w:style>
  <w:style w:type="paragraph" w:customStyle="1" w:styleId="4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2">
    <w:name w:val="TAR"/>
    <w:basedOn w:val="1"/>
    <w:qFormat/>
    <w:uiPriority w:val="0"/>
    <w:pPr>
      <w:keepNext/>
      <w:keepLines/>
      <w:jc w:val="right"/>
    </w:pPr>
    <w:rPr>
      <w:rFonts w:ascii="Arial" w:hAnsi="Arial" w:eastAsia="宋体"/>
      <w:sz w:val="18"/>
      <w:szCs w:val="20"/>
      <w:lang w:val="en-GB"/>
    </w:rPr>
  </w:style>
  <w:style w:type="paragraph" w:customStyle="1" w:styleId="43">
    <w:name w:val="RAN4 proposal"/>
    <w:basedOn w:val="6"/>
    <w:next w:val="1"/>
    <w:link w:val="44"/>
    <w:qFormat/>
    <w:uiPriority w:val="0"/>
    <w:pPr>
      <w:numPr>
        <w:ilvl w:val="0"/>
        <w:numId w:val="2"/>
      </w:numPr>
      <w:spacing w:after="200"/>
      <w:ind w:left="0" w:firstLine="0"/>
    </w:pPr>
    <w:rPr>
      <w:rFonts w:ascii="Times New Roman" w:hAnsi="Times New Roman" w:eastAsia="宋体"/>
      <w:b/>
      <w:iCs/>
      <w:szCs w:val="18"/>
    </w:rPr>
  </w:style>
  <w:style w:type="character" w:customStyle="1" w:styleId="44">
    <w:name w:val="RAN4 proposal Char"/>
    <w:link w:val="43"/>
    <w:qFormat/>
    <w:uiPriority w:val="0"/>
    <w:rPr>
      <w:rFonts w:ascii="Times New Roman" w:hAnsi="Times New Roman"/>
      <w:b/>
      <w:iCs/>
      <w:szCs w:val="18"/>
      <w:lang w:eastAsia="en-US"/>
    </w:rPr>
  </w:style>
  <w:style w:type="character" w:customStyle="1" w:styleId="45">
    <w:name w:val="List Paragraph Char"/>
    <w:link w:val="29"/>
    <w:qFormat/>
    <w:uiPriority w:val="34"/>
    <w:rPr>
      <w:kern w:val="2"/>
      <w:sz w:val="21"/>
      <w:szCs w:val="22"/>
    </w:rPr>
  </w:style>
  <w:style w:type="character" w:customStyle="1" w:styleId="46">
    <w:name w:val="ZGSM"/>
    <w:qFormat/>
    <w:uiPriority w:val="0"/>
  </w:style>
  <w:style w:type="character" w:customStyle="1" w:styleId="47">
    <w:name w:val="Date Char"/>
    <w:link w:val="12"/>
    <w:semiHidden/>
    <w:qFormat/>
    <w:uiPriority w:val="99"/>
    <w:rPr>
      <w:rFonts w:ascii="Times New Roman" w:hAnsi="Times New Roman" w:eastAsia="Times New Roman"/>
      <w:szCs w:val="24"/>
      <w:lang w:eastAsia="en-US"/>
    </w:rPr>
  </w:style>
  <w:style w:type="paragraph" w:customStyle="1" w:styleId="48">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9">
    <w:name w:val="TAL Char"/>
    <w:link w:val="36"/>
    <w:qFormat/>
    <w:uiPriority w:val="0"/>
    <w:rPr>
      <w:rFonts w:ascii="Arial" w:hAnsi="Arial"/>
      <w:sz w:val="18"/>
      <w:lang w:val="en-GB" w:eastAsia="en-US"/>
    </w:rPr>
  </w:style>
  <w:style w:type="character" w:customStyle="1" w:styleId="50">
    <w:name w:val="Heading 3 Char"/>
    <w:link w:val="4"/>
    <w:qFormat/>
    <w:uiPriority w:val="9"/>
    <w:rPr>
      <w:rFonts w:ascii="Times New Roman" w:hAnsi="Times New Roman" w:eastAsia="Times New Roman"/>
      <w:b/>
      <w:bCs/>
      <w:sz w:val="32"/>
      <w:szCs w:val="32"/>
      <w:lang w:eastAsia="en-US"/>
    </w:rPr>
  </w:style>
  <w:style w:type="character" w:customStyle="1" w:styleId="51">
    <w:name w:val="TAL Car"/>
    <w:qFormat/>
    <w:uiPriority w:val="0"/>
    <w:rPr>
      <w:rFonts w:ascii="Arial" w:hAnsi="Arial" w:eastAsia="Times New Roman" w:cs="Times New Roman"/>
      <w:kern w:val="0"/>
      <w:sz w:val="18"/>
      <w:szCs w:val="20"/>
      <w:lang w:val="en-GB" w:eastAsia="ko-KR"/>
    </w:rPr>
  </w:style>
  <w:style w:type="paragraph" w:customStyle="1" w:styleId="52">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3">
    <w:name w:val="TAN"/>
    <w:basedOn w:val="36"/>
    <w:qFormat/>
    <w:uiPriority w:val="0"/>
    <w:pPr>
      <w:ind w:left="851" w:hanging="851"/>
    </w:pPr>
  </w:style>
  <w:style w:type="character" w:customStyle="1" w:styleId="54">
    <w:name w:val="normaltextrun"/>
    <w:basedOn w:val="19"/>
    <w:qFormat/>
    <w:uiPriority w:val="0"/>
  </w:style>
  <w:style w:type="character" w:customStyle="1" w:styleId="55">
    <w:name w:val="eop"/>
    <w:basedOn w:val="19"/>
    <w:qFormat/>
    <w:uiPriority w:val="0"/>
  </w:style>
  <w:style w:type="paragraph" w:customStyle="1" w:styleId="56">
    <w:name w:val="paragraph"/>
    <w:basedOn w:val="1"/>
    <w:qFormat/>
    <w:uiPriority w:val="0"/>
    <w:pPr>
      <w:spacing w:before="100" w:beforeAutospacing="1" w:after="100" w:afterAutospacing="1"/>
    </w:pPr>
    <w:rPr>
      <w:rFonts w:eastAsia="Times New Roman"/>
      <w:sz w:val="24"/>
      <w:szCs w:val="24"/>
    </w:rPr>
  </w:style>
  <w:style w:type="paragraph" w:customStyle="1" w:styleId="57">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58">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59">
    <w:name w:val="B2"/>
    <w:basedOn w:val="10"/>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1</TotalTime>
  <ScaleCrop>false</ScaleCrop>
  <LinksUpToDate>false</LinksUpToDate>
  <CharactersWithSpaces>3669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cp:lastModifiedBy>
  <cp:lastPrinted>2015-02-02T11:17:00Z</cp:lastPrinted>
  <dcterms:modified xsi:type="dcterms:W3CDTF">2025-05-09T14:47:29Z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5E6BDDB83E4049FCB3EA0B34C0E76F9F</vt:lpwstr>
  </property>
</Properties>
</file>